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Securities Exchange Act of 1934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October 20,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CAPITAL ONE FINANCIAL CORPORATION</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tbl>
      <w:tblPr>
        <w:tblW w:w="8020" w:type="dxa"/>
        <w:jc w:val="center"/>
        <w:tblInd w:w="0" w:type="dxa"/>
        <w:tblLayout w:type="fixed"/>
        <w:tblCellMar>
          <w:top w:w="28" w:type="dxa"/>
          <w:left w:w="28" w:type="dxa"/>
          <w:bottom w:w="28" w:type="dxa"/>
          <w:right w:w="28" w:type="dxa"/>
        </w:tblCellMar>
      </w:tblPr>
      <w:tblGrid>
        <w:gridCol w:w="623"/>
        <w:gridCol w:w="548"/>
        <w:gridCol w:w="548"/>
        <w:gridCol w:w="548"/>
        <w:gridCol w:w="548"/>
        <w:gridCol w:w="557"/>
        <w:gridCol w:w="677"/>
        <w:gridCol w:w="677"/>
        <w:gridCol w:w="685"/>
        <w:gridCol w:w="760"/>
        <w:gridCol w:w="760"/>
        <w:gridCol w:w="1089"/>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001-13300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54-1719854</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1680 Capital One Drive,</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McLean,</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Virginia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22102</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(703) 720-1000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505"/>
        <w:gridCol w:w="1968"/>
        <w:gridCol w:w="1980"/>
        <w:gridCol w:w="395"/>
        <w:gridCol w:w="395"/>
        <w:gridCol w:w="397"/>
        <w:gridCol w:w="749"/>
        <w:gridCol w:w="749"/>
        <w:gridCol w:w="1067"/>
      </w:tblGrid>
      <w:tr>
        <w:trPr/>
        <w:tc>
          <w:tcPr>
            <w:tcW w:w="250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I</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PRI</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J</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PRJ</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K</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PRK</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L</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PRL</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N</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PRN</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1.650% Senior Notes Due 2029</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COF29</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4.326% Fixed-to-Floating Rate Senior Notes Due 2032</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COF32</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4.832% Fixed-to-Floating Rate Senior Notes Due 2037</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COF37</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6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20, 2026, Capital One Financial Corporation (the “Company”) issued a press release announcing its financial results for the third quarter ended September 30, 2026. Copies of the Company’s press release and financial supplement are attached and furnished herewith as Exhibits 99.1 and 99.2 to this Form 8-K and are incorporated herein by 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Note: </w:t>
      </w:r>
      <w:r>
        <w:rPr>
          <w:rFonts w:ascii="Times New Roman;serif" w:hAnsi="Times New Roman;serif"/>
          <w:b w:val="false"/>
          <w:color w:val="000000"/>
          <w:sz w:val="20"/>
        </w:rPr>
        <w:t>Information in this report (including Exhibits 99.1 and 99.2) furnished pursuant to Item 2.02 shall not be deemed to be “filed” for the purposes of Section 18 of the Securities Exchange Act of 1934 or otherwise subject to the liabilities of that Section.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1"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1948"/>
        <w:gridCol w:w="1948"/>
        <w:gridCol w:w="276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q32026earningsrelease.htm">
              <w:r>
                <w:rPr>
                  <w:rStyle w:val="InternetLink"/>
                  <w:rFonts w:ascii="Times New Roman;serif" w:hAnsi="Times New Roman;serif"/>
                  <w:b w:val="false"/>
                  <w:color w:val="000080"/>
                  <w:sz w:val="20"/>
                  <w:u w:val="single"/>
                </w:rPr>
                <w:t xml:space="preserve">Press Release, dated </w:t>
              </w:r>
            </w:hyperlink>
            <w:hyperlink w:anchor="ex991q32026earningsrelease.htm">
              <w:r>
                <w:rPr>
                  <w:rStyle w:val="InternetLink"/>
                  <w:rFonts w:ascii="Times New Roman;serif" w:hAnsi="Times New Roman;serif"/>
                  <w:b w:val="false"/>
                  <w:color w:val="000080"/>
                  <w:sz w:val="20"/>
                  <w:u w:val="single"/>
                </w:rPr>
                <w:t>October</w:t>
              </w:r>
            </w:hyperlink>
            <w:hyperlink w:anchor="ex991q32026earningsrelease.htm">
              <w:r>
                <w:rPr>
                  <w:rStyle w:val="InternetLink"/>
                  <w:rFonts w:ascii="Times New Roman;serif" w:hAnsi="Times New Roman;serif"/>
                  <w:b w:val="false"/>
                  <w:color w:val="000080"/>
                  <w:sz w:val="20"/>
                  <w:u w:val="single"/>
                </w:rPr>
                <w:t xml:space="preserve"> </w:t>
              </w:r>
            </w:hyperlink>
            <w:hyperlink w:anchor="ex991q32026earningsrelease.htm">
              <w:r>
                <w:rPr>
                  <w:rStyle w:val="InternetLink"/>
                  <w:rFonts w:ascii="Times New Roman;serif" w:hAnsi="Times New Roman;serif"/>
                  <w:b w:val="false"/>
                  <w:color w:val="000080"/>
                  <w:sz w:val="20"/>
                  <w:u w:val="single"/>
                </w:rPr>
                <w:t>20</w:t>
              </w:r>
            </w:hyperlink>
            <w:hyperlink w:anchor="ex991q32026earningsrelease.htm">
              <w:r>
                <w:rPr>
                  <w:rStyle w:val="InternetLink"/>
                  <w:rFonts w:ascii="Times New Roman;serif" w:hAnsi="Times New Roman;serif"/>
                  <w:b w:val="false"/>
                  <w:color w:val="000080"/>
                  <w:sz w:val="20"/>
                  <w:u w:val="single"/>
                </w:rPr>
                <w:t>, 2026</w:t>
              </w:r>
            </w:hyperlink>
            <w:hyperlink w:anchor="ex991q32026earningsrelease.htm">
              <w:r>
                <w:rPr>
                  <w:rStyle w:val="InternetLink"/>
                  <w:rFonts w:ascii="Times New Roman;serif" w:hAnsi="Times New Roman;serif"/>
                  <w:b w:val="false"/>
                  <w:color w:val="000080"/>
                  <w:sz w:val="20"/>
                  <w:u w:val="single"/>
                </w:rPr>
                <w:t xml:space="preserve"> - </w:t>
              </w:r>
            </w:hyperlink>
            <w:hyperlink w:anchor="ex991q32026earningsrelease.htm">
              <w:r>
                <w:rPr>
                  <w:rStyle w:val="InternetLink"/>
                  <w:rFonts w:ascii="Times New Roman;serif" w:hAnsi="Times New Roman;serif"/>
                  <w:b w:val="false"/>
                  <w:color w:val="000080"/>
                  <w:sz w:val="20"/>
                  <w:u w:val="single"/>
                </w:rPr>
                <w:t>Third</w:t>
              </w:r>
            </w:hyperlink>
            <w:hyperlink w:anchor="ex991q32026earningsrelease.htm">
              <w:r>
                <w:rPr>
                  <w:rStyle w:val="InternetLink"/>
                  <w:rFonts w:ascii="Times New Roman;serif" w:hAnsi="Times New Roman;serif"/>
                  <w:b w:val="false"/>
                  <w:color w:val="000080"/>
                  <w:sz w:val="20"/>
                  <w:u w:val="single"/>
                </w:rPr>
                <w:t xml:space="preserve"> Quarter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q32026earningsrelease.htm">
              <w:r>
                <w:rPr>
                  <w:rStyle w:val="InternetLink"/>
                  <w:rFonts w:ascii="Times New Roman;serif" w:hAnsi="Times New Roman;serif"/>
                  <w:b w:val="false"/>
                  <w:color w:val="000080"/>
                  <w:sz w:val="20"/>
                  <w:u w:val="single"/>
                </w:rPr>
                <w:t xml:space="preserve">Financial Supplement - </w:t>
              </w:r>
            </w:hyperlink>
            <w:hyperlink w:anchor="ex992q32026earningsrelease.htm">
              <w:r>
                <w:rPr>
                  <w:rStyle w:val="InternetLink"/>
                  <w:rFonts w:ascii="Times New Roman;serif" w:hAnsi="Times New Roman;serif"/>
                  <w:b w:val="false"/>
                  <w:color w:val="000080"/>
                  <w:sz w:val="20"/>
                  <w:u w:val="single"/>
                </w:rPr>
                <w:t>Third</w:t>
              </w:r>
            </w:hyperlink>
            <w:hyperlink w:anchor="ex992q32026earningsrelease.htm">
              <w:r>
                <w:rPr>
                  <w:rStyle w:val="InternetLink"/>
                  <w:rFonts w:ascii="Times New Roman;serif" w:hAnsi="Times New Roman;serif"/>
                  <w:b w:val="false"/>
                  <w:color w:val="000080"/>
                  <w:sz w:val="20"/>
                  <w:u w:val="single"/>
                </w:rPr>
                <w:t xml:space="preserve"> Quarter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Earnings Conference Call Webcast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hold an earnings conference call on October 20, 2026 at 5:00 PM Eastern Time. The conference call will be accessible through live webcast. Interested investors and other individuals can access the webcast via the Company’s home page (www.capitalone.com). Under “About,” choose “Investors” to access the Investor Center and view and/or download the earnings press release, the financial supplement, including a reconciliation of non-GAAP financial measures, and the earnings release presentation. A replay of the webcast will be archived on the Company’s website through November 03, 2026 at 5:00 PM Eastern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Current Report on Form 8-K to be signed on its behalf by the undersigned hereunto duly authorized.</w:t>
      </w:r>
    </w:p>
    <w:tbl>
      <w:tblPr>
        <w:tblW w:w="6567" w:type="dxa"/>
        <w:jc w:val="left"/>
        <w:tblInd w:w="0" w:type="dxa"/>
        <w:tblLayout w:type="fixed"/>
        <w:tblCellMar>
          <w:top w:w="28" w:type="dxa"/>
          <w:left w:w="28" w:type="dxa"/>
          <w:bottom w:w="28" w:type="dxa"/>
          <w:right w:w="28" w:type="dxa"/>
        </w:tblCellMar>
      </w:tblPr>
      <w:tblGrid>
        <w:gridCol w:w="250"/>
        <w:gridCol w:w="220"/>
        <w:gridCol w:w="220"/>
        <w:gridCol w:w="220"/>
        <w:gridCol w:w="220"/>
        <w:gridCol w:w="220"/>
        <w:gridCol w:w="220"/>
        <w:gridCol w:w="220"/>
        <w:gridCol w:w="220"/>
        <w:gridCol w:w="639"/>
        <w:gridCol w:w="639"/>
        <w:gridCol w:w="639"/>
        <w:gridCol w:w="771"/>
        <w:gridCol w:w="771"/>
        <w:gridCol w:w="1098"/>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ONE FINANCIAL CORPORATION</w:t>
            </w:r>
          </w:p>
        </w:tc>
      </w:tr>
      <w:tr>
        <w:trPr/>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P. GOLDEN</w:t>
            </w:r>
          </w:p>
        </w:tc>
      </w:tr>
      <w:tr>
        <w:trPr/>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P. Golden</w:t>
            </w:r>
          </w:p>
        </w:tc>
      </w:tr>
      <w:tr>
        <w:trPr/>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SVP, Chief Accounting Officer</w:t>
            </w:r>
          </w:p>
        </w:tc>
      </w:tr>
    </w:tbl>
    <w:p>
      <w:pPr>
        <w:pStyle w:val="TextBody"/>
        <w:bidi w:val="0"/>
        <w:spacing w:before="0" w:after="60"/>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right"/>
        <w:rPr>
          <w:rFonts w:ascii="Times New Roman;serif" w:hAnsi="Times New Roman;serif"/>
          <w:b/>
          <w:color w:val="000000"/>
          <w:sz w:val="36"/>
        </w:rPr>
      </w:pPr>
      <w:r>
        <w:rPr>
          <w:rFonts w:ascii="Times New Roman;serif" w:hAnsi="Times New Roman;serif"/>
          <w:b/>
          <w:color w:val="000000"/>
          <w:sz w:val="36"/>
        </w:rPr>
        <w:t>News Release</w:t>
      </w:r>
    </w:p>
    <w:p>
      <w:pPr>
        <w:pStyle w:val="TextBody"/>
        <w:bidi w:val="0"/>
        <w:spacing w:before="0" w:after="0"/>
        <w:jc w:val="left"/>
        <w:rPr/>
      </w:pPr>
      <w:r>
        <w:rPr/>
        <w:drawing>
          <wp:inline distT="0" distB="0" distL="0" distR="0">
            <wp:extent cx="2676525" cy="9620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676525" cy="962025"/>
                    </a:xfrm>
                    <a:prstGeom prst="rect">
                      <a:avLst/>
                    </a:prstGeom>
                  </pic:spPr>
                </pic:pic>
              </a:graphicData>
            </a:graphic>
          </wp:inline>
        </w:drawing>
      </w:r>
    </w:p>
    <w:tbl>
      <w:tblPr>
        <w:tblW w:w="7118" w:type="dxa"/>
        <w:jc w:val="right"/>
        <w:tblInd w:w="0" w:type="dxa"/>
        <w:tblLayout w:type="fixed"/>
        <w:tblCellMar>
          <w:top w:w="28" w:type="dxa"/>
          <w:left w:w="28" w:type="dxa"/>
          <w:bottom w:w="28" w:type="dxa"/>
          <w:right w:w="28" w:type="dxa"/>
        </w:tblCellMar>
      </w:tblPr>
      <w:tblGrid>
        <w:gridCol w:w="739"/>
        <w:gridCol w:w="648"/>
        <w:gridCol w:w="654"/>
        <w:gridCol w:w="744"/>
        <w:gridCol w:w="744"/>
        <w:gridCol w:w="748"/>
        <w:gridCol w:w="694"/>
        <w:gridCol w:w="694"/>
        <w:gridCol w:w="638"/>
        <w:gridCol w:w="237"/>
        <w:gridCol w:w="237"/>
        <w:gridCol w:w="341"/>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828282"/>
                <w:sz w:val="20"/>
              </w:rPr>
            </w:pPr>
            <w:r>
              <w:rPr>
                <w:rFonts w:ascii="Times New Roman;serif" w:hAnsi="Times New Roman;serif"/>
                <w:b/>
                <w:color w:val="828282"/>
                <w:sz w:val="20"/>
              </w:rPr>
              <w:t>Contacts:</w:t>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828282"/>
                <w:sz w:val="20"/>
              </w:rPr>
            </w:pPr>
            <w:r>
              <w:rPr>
                <w:rFonts w:ascii="Times New Roman;serif" w:hAnsi="Times New Roman;serif"/>
                <w:b/>
                <w:color w:val="828282"/>
                <w:sz w:val="20"/>
              </w:rPr>
              <w:t>Investor Relations</w:t>
            </w:r>
          </w:p>
        </w:tc>
        <w:tc>
          <w:tcPr>
            <w:tcW w:w="2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828282"/>
                <w:sz w:val="20"/>
              </w:rPr>
            </w:pPr>
            <w:r>
              <w:rPr>
                <w:rFonts w:ascii="Times New Roman;serif" w:hAnsi="Times New Roman;serif"/>
                <w:b/>
                <w:color w:val="828282"/>
                <w:sz w:val="20"/>
              </w:rPr>
              <w:t>Media Relations</w:t>
            </w:r>
          </w:p>
        </w:tc>
      </w:tr>
      <w:tr>
        <w:trPr/>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20"/>
              </w:rPr>
            </w:pPr>
            <w:r>
              <w:rPr>
                <w:rFonts w:ascii="Times New Roman;serif" w:hAnsi="Times New Roman;serif"/>
                <w:b w:val="false"/>
                <w:color w:val="828282"/>
                <w:sz w:val="20"/>
              </w:rPr>
              <w:t>Jeff Norris</w:t>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20"/>
              </w:rPr>
            </w:pPr>
            <w:r>
              <w:rPr>
                <w:rFonts w:ascii="Times New Roman;serif" w:hAnsi="Times New Roman;serif"/>
                <w:b w:val="false"/>
                <w:color w:val="828282"/>
                <w:sz w:val="20"/>
              </w:rPr>
              <w:t>Danielle Dietz</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20"/>
              </w:rPr>
            </w:pPr>
            <w:r>
              <w:rPr>
                <w:rFonts w:ascii="Times New Roman;serif" w:hAnsi="Times New Roman;serif"/>
                <w:b w:val="false"/>
                <w:color w:val="828282"/>
                <w:sz w:val="20"/>
              </w:rPr>
              <w:t>Sie Soheili</w:t>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18"/>
              </w:rPr>
            </w:pPr>
            <w:r>
              <w:rPr>
                <w:rFonts w:ascii="Times New Roman;serif" w:hAnsi="Times New Roman;serif"/>
                <w:b w:val="false"/>
                <w:color w:val="828282"/>
                <w:sz w:val="18"/>
              </w:rPr>
              <w:t>jeff.norris@capitalone.com</w:t>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18"/>
              </w:rPr>
            </w:pPr>
            <w:r>
              <w:rPr>
                <w:rFonts w:ascii="Times New Roman;serif" w:hAnsi="Times New Roman;serif"/>
                <w:b w:val="false"/>
                <w:color w:val="828282"/>
                <w:sz w:val="18"/>
              </w:rPr>
              <w:t>danielle.dietz@capitalone.com</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828282"/>
                <w:sz w:val="18"/>
              </w:rPr>
            </w:pPr>
            <w:r>
              <w:rPr>
                <w:rFonts w:ascii="Times New Roman;serif" w:hAnsi="Times New Roman;serif"/>
                <w:b w:val="false"/>
                <w:color w:val="828282"/>
                <w:sz w:val="18"/>
              </w:rPr>
              <w:t>sie.soheili@capitalone.com</w:t>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 xml:space="preserve">FOR IMMEDIATE RELEASE: </w:t>
      </w:r>
      <w:r>
        <w:rPr>
          <w:rFonts w:ascii="Times New Roman;serif" w:hAnsi="Times New Roman;serif"/>
          <w:b w:val="false"/>
          <w:color w:val="000000"/>
          <w:sz w:val="20"/>
        </w:rPr>
        <w:t>October 20, 2026</w:t>
      </w:r>
    </w:p>
    <w:p>
      <w:pPr>
        <w:pStyle w:val="TextBody"/>
        <w:bidi w:val="0"/>
        <w:spacing w:lineRule="auto" w:line="288" w:before="300" w:after="300"/>
        <w:jc w:val="center"/>
        <w:rPr/>
      </w:pPr>
      <w:r>
        <w:rPr>
          <w:rFonts w:ascii="Times New Roman;serif" w:hAnsi="Times New Roman;serif"/>
          <w:b/>
          <w:color w:val="000000"/>
          <w:sz w:val="28"/>
        </w:rPr>
        <w:t>Capital One Reports Third Quarter 2026 Net Income of $3.5 billion,</w:t>
      </w:r>
      <w:r>
        <w:rPr>
          <w:rFonts w:ascii="Times New Roman;serif" w:hAnsi="Times New Roman;serif"/>
          <w:b w:val="false"/>
          <w:color w:val="000000"/>
          <w:sz w:val="28"/>
        </w:rPr>
        <w:br/>
      </w:r>
      <w:r>
        <w:rPr>
          <w:rFonts w:ascii="Times New Roman;serif" w:hAnsi="Times New Roman;serif"/>
          <w:b/>
          <w:color w:val="000000"/>
          <w:sz w:val="28"/>
        </w:rPr>
        <w:t>or $5.61 per share</w:t>
      </w:r>
    </w:p>
    <w:p>
      <w:pPr>
        <w:pStyle w:val="TextBody"/>
        <w:bidi w:val="0"/>
        <w:spacing w:lineRule="auto" w:line="288" w:before="300" w:after="300"/>
        <w:jc w:val="center"/>
        <w:rPr/>
      </w:pPr>
      <w:r>
        <w:rPr>
          <w:rFonts w:ascii="Times New Roman;serif" w:hAnsi="Times New Roman;serif"/>
          <w:b w:val="false"/>
          <w:i/>
          <w:color w:val="000000"/>
          <w:sz w:val="24"/>
        </w:rPr>
        <w:t>Net of adjusting items, Third Quarter 2026 Net Income of $6.69 per share</w:t>
      </w:r>
      <w:r>
        <w:rPr>
          <w:rFonts w:ascii="Times New Roman;serif" w:hAnsi="Times New Roman;serif"/>
          <w:b w:val="false"/>
          <w:i/>
          <w:color w:val="000000"/>
          <w:sz w:val="16"/>
        </w:rPr>
        <w:t>(1)</w:t>
      </w:r>
    </w:p>
    <w:p>
      <w:pPr>
        <w:pStyle w:val="TextBody"/>
        <w:bidi w:val="0"/>
        <w:spacing w:lineRule="auto" w:line="288" w:before="180" w:after="180"/>
        <w:jc w:val="both"/>
        <w:rPr/>
      </w:pPr>
      <w:r>
        <w:rPr>
          <w:rFonts w:ascii="Times New Roman;serif" w:hAnsi="Times New Roman;serif"/>
          <w:b/>
          <w:color w:val="000000"/>
          <w:sz w:val="20"/>
        </w:rPr>
        <w:t>McLean, Va. (</w:t>
      </w:r>
      <w:r>
        <w:rPr>
          <w:rFonts w:ascii="Times New Roman;serif" w:hAnsi="Times New Roman;serif"/>
          <w:b w:val="false"/>
          <w:color w:val="000000"/>
          <w:sz w:val="20"/>
        </w:rPr>
        <w:t>October 20, 2026</w:t>
      </w:r>
      <w:r>
        <w:rPr>
          <w:rFonts w:ascii="Times New Roman;serif" w:hAnsi="Times New Roman;serif"/>
          <w:b/>
          <w:color w:val="000000"/>
          <w:sz w:val="20"/>
        </w:rPr>
        <w:t xml:space="preserve">) </w:t>
      </w:r>
      <w:r>
        <w:rPr>
          <w:color w:val="000000"/>
        </w:rPr>
        <w:t xml:space="preserve">– </w:t>
      </w:r>
      <w:r>
        <w:rPr>
          <w:rFonts w:ascii="Times New Roman;serif" w:hAnsi="Times New Roman;serif"/>
          <w:b w:val="false"/>
          <w:color w:val="000000"/>
          <w:sz w:val="20"/>
        </w:rPr>
        <w:t>Capital One Financial Corporation (NYSE: COF) today announced net income for the third quarter of 2026 of $3.5 billion, or $5.61 per diluted common share, compared with net income of $3.0 billion, or $4.73 per diluted common share in the second quarter of 2026, and with net income of $3.2 billion, or $4.83 per diluted common share in the third quarter of 2025. Adjusted net income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the third quarter of 2026 was $6.69 per diluted common share.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Discover integration continues to go well and we’re making good progress on delivering the expected synergies" said Richard D. Fairbank, Founder, Chairman, and Chief Executive Officer. "We continue to invest to deliver sustained growth and value creation over the long-term."</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quarter included the following adjusting items:</w:t>
      </w:r>
    </w:p>
    <w:tbl>
      <w:tblPr>
        <w:tblW w:w="7033" w:type="dxa"/>
        <w:jc w:val="center"/>
        <w:tblInd w:w="0" w:type="dxa"/>
        <w:tblLayout w:type="fixed"/>
        <w:tblCellMar>
          <w:top w:w="28" w:type="dxa"/>
          <w:left w:w="28" w:type="dxa"/>
          <w:bottom w:w="28" w:type="dxa"/>
          <w:right w:w="28" w:type="dxa"/>
        </w:tblCellMar>
      </w:tblPr>
      <w:tblGrid>
        <w:gridCol w:w="1160"/>
        <w:gridCol w:w="1020"/>
        <w:gridCol w:w="1029"/>
        <w:gridCol w:w="349"/>
        <w:gridCol w:w="777"/>
        <w:gridCol w:w="194"/>
        <w:gridCol w:w="590"/>
        <w:gridCol w:w="1449"/>
        <w:gridCol w:w="465"/>
      </w:tblGrid>
      <w:tr>
        <w:trPr/>
        <w:tc>
          <w:tcPr>
            <w:tcW w:w="11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millions, except per share data)</w:t>
            </w:r>
          </w:p>
        </w:tc>
        <w:tc>
          <w:tcPr>
            <w:tcW w:w="1320" w:type="dxa"/>
            <w:gridSpan w:val="3"/>
            <w:tcBorders>
              <w:top w:val="single" w:sz="8" w:space="0" w:color="000000"/>
              <w:left w:val="single" w:sz="8" w:space="0" w:color="000000"/>
            </w:tcBorders>
            <w:shd w:fill="004977"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Pre-Tax Impact</w:t>
            </w:r>
          </w:p>
        </w:tc>
        <w:tc>
          <w:tcPr>
            <w:tcW w:w="2504" w:type="dxa"/>
            <w:gridSpan w:val="3"/>
            <w:tcBorders>
              <w:top w:val="single" w:sz="8" w:space="0" w:color="000000"/>
              <w:left w:val="single" w:sz="8" w:space="0" w:color="000000"/>
              <w:right w:val="single" w:sz="8" w:space="0" w:color="000000"/>
            </w:tcBorders>
            <w:shd w:fill="004977"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FFFFFF"/>
                <w:sz w:val="18"/>
              </w:rPr>
            </w:pPr>
            <w:r>
              <w:rPr>
                <w:rFonts w:ascii="Times New Roman;serif" w:hAnsi="Times New Roman;serif"/>
                <w:b/>
                <w:color w:val="FFFFFF"/>
                <w:sz w:val="18"/>
              </w:rPr>
              <w:t>After-Tax Diluted EPS Impact</w:t>
            </w:r>
          </w:p>
        </w:tc>
      </w:tr>
      <w:tr>
        <w:trPr/>
        <w:tc>
          <w:tcPr>
            <w:tcW w:w="3209"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 amortization expenses</w:t>
            </w:r>
            <w:r>
              <w:rPr>
                <w:rFonts w:ascii="Times New Roman;serif" w:hAnsi="Times New Roman;serif"/>
                <w:b w:val="false"/>
                <w:color w:val="000000"/>
                <w:sz w:val="12"/>
              </w:rPr>
              <w:t>(2)</w:t>
            </w:r>
          </w:p>
        </w:tc>
        <w:tc>
          <w:tcPr>
            <w:tcW w:w="349"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483</w:t>
            </w:r>
            <w:r>
              <w:rPr>
                <w:color w:val="000000"/>
              </w:rPr>
              <w:t>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left w:val="single" w:sz="8" w:space="0" w:color="000000"/>
            </w:tcBorders>
            <w:shd w:fill="DBDBDB"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0.60</w:t>
            </w:r>
            <w:r>
              <w:rPr>
                <w:color w:val="000000"/>
              </w:rPr>
              <w:t> </w:t>
            </w:r>
          </w:p>
        </w:tc>
        <w:tc>
          <w:tcPr>
            <w:tcW w:w="465" w:type="dxa"/>
            <w:tcBorders>
              <w:top w:val="single" w:sz="8" w:space="0" w:color="000000"/>
              <w:right w:val="single" w:sz="8" w:space="0" w:color="000000"/>
            </w:tcBorders>
            <w:shd w:fill="DBDBDB"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Discover integration expenses</w:t>
            </w:r>
          </w:p>
        </w:tc>
        <w:tc>
          <w:tcPr>
            <w:tcW w:w="349"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338</w:t>
            </w:r>
            <w:r>
              <w:rPr>
                <w:color w:val="000000"/>
              </w:rPr>
              <w:t>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0.42</w:t>
            </w:r>
            <w:r>
              <w:rPr>
                <w:color w:val="000000"/>
              </w:rPr>
              <w:t> </w:t>
            </w:r>
          </w:p>
        </w:tc>
        <w:tc>
          <w:tcPr>
            <w:tcW w:w="46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Brex integration expenses</w:t>
            </w:r>
          </w:p>
        </w:tc>
        <w:tc>
          <w:tcPr>
            <w:tcW w:w="349" w:type="dxa"/>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19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4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0.06</w:t>
            </w:r>
            <w:r>
              <w:rPr>
                <w:color w:val="000000"/>
              </w:rPr>
              <w:t> </w:t>
            </w:r>
          </w:p>
        </w:tc>
        <w:tc>
          <w:tcPr>
            <w:tcW w:w="465" w:type="dxa"/>
            <w:tcBorders>
              <w:top w:val="single" w:sz="8" w:space="0" w:color="000000"/>
              <w:bottom w:val="single" w:sz="8" w:space="0" w:color="000000"/>
              <w:right w:val="single" w:sz="8" w:space="0" w:color="000000"/>
            </w:tcBorders>
            <w:shd w:fill="DBDBDB"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both"/>
        <w:rPr/>
      </w:pPr>
      <w:r>
        <w:rPr/>
      </w:r>
    </w:p>
    <w:p>
      <w:pPr>
        <w:pStyle w:val="TextBody"/>
        <w:bidi w:val="0"/>
        <w:spacing w:before="180" w:after="180"/>
        <w:jc w:val="both"/>
        <w:rPr/>
      </w:pPr>
      <w:r>
        <w:rPr/>
      </w:r>
    </w:p>
    <w:p>
      <w:pPr>
        <w:pStyle w:val="TextBody"/>
        <w:bidi w:val="0"/>
        <w:spacing w:before="180" w:after="180"/>
        <w:jc w:val="both"/>
        <w:rPr/>
      </w:pPr>
      <w:r>
        <w:rPr/>
      </w:r>
    </w:p>
    <w:p>
      <w:pPr>
        <w:pStyle w:val="TextBody"/>
        <w:bidi w:val="0"/>
        <w:spacing w:before="180" w:after="180"/>
        <w:jc w:val="both"/>
        <w:rPr/>
      </w:pPr>
      <w:r>
        <w:rPr/>
      </w:r>
    </w:p>
    <w:p>
      <w:pPr>
        <w:pStyle w:val="TextBody"/>
        <w:bidi w:val="0"/>
        <w:spacing w:before="18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Capital One Third Quarter 2026 Earnings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13360"/>
                <wp:effectExtent l="0" t="0" r="0" b="0"/>
                <wp:wrapNone/>
                <wp:docPr id="6" name="Frame5"/>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Page 2</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All comparisons below are for the third quarter of 2026 compared with the second quarter of 2026 unless otherwise noted.</w:t>
      </w:r>
    </w:p>
    <w:p>
      <w:pPr>
        <w:pStyle w:val="TextBody"/>
        <w:bidi w:val="0"/>
        <w:spacing w:lineRule="auto" w:line="288" w:before="180" w:after="180"/>
        <w:jc w:val="both"/>
        <w:rPr>
          <w:rFonts w:ascii="Times New Roman;serif" w:hAnsi="Times New Roman;serif"/>
          <w:b/>
          <w:color w:val="000000"/>
          <w:sz w:val="20"/>
          <w:u w:val="single"/>
        </w:rPr>
      </w:pPr>
      <w:r>
        <w:rPr>
          <w:rFonts w:ascii="Times New Roman;serif" w:hAnsi="Times New Roman;serif"/>
          <w:b/>
          <w:color w:val="000000"/>
          <w:sz w:val="20"/>
          <w:u w:val="single"/>
        </w:rPr>
        <w:t>Third Quarter 2026 Income Statement Summary:</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Total net revenue increased 3 percent to $16.3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Total non-interest expense decreased 2 percent to $8.9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4 percent decrease in marketing.</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2 percent decrease in operating expenses.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Pre-provision earnings</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increased 10 percent to $7.5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Provision for credit losses decreased $73 million to $2.9 billion:</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Net charge-offs of $3.1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$225 million loan reserve release.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Net interest margin of 8.41 percent, an increase of 40 basis points.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Efficiency ratio of 54.19 percent.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Adjusted efficiency ratio</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of 48.76 percent.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Operating efficiency ratio of 44.43 percent.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Adjusted operating efficiency ratio</w:t>
      </w:r>
      <w:r>
        <w:rPr>
          <w:rFonts w:ascii="Times New Roman;serif" w:hAnsi="Times New Roman;serif"/>
          <w:b w:val="false"/>
          <w:color w:val="000000"/>
          <w:sz w:val="13"/>
        </w:rPr>
        <w:t xml:space="preserve">(4) </w:t>
      </w:r>
      <w:r>
        <w:rPr>
          <w:rFonts w:ascii="Times New Roman;serif" w:hAnsi="Times New Roman;serif"/>
          <w:b w:val="false"/>
          <w:color w:val="000000"/>
          <w:sz w:val="20"/>
        </w:rPr>
        <w:t>of 38.99 percent.</w:t>
      </w:r>
    </w:p>
    <w:p>
      <w:pPr>
        <w:pStyle w:val="TextBody"/>
        <w:bidi w:val="0"/>
        <w:spacing w:lineRule="auto" w:line="288" w:before="180" w:after="180"/>
        <w:jc w:val="both"/>
        <w:rPr>
          <w:rFonts w:ascii="Times New Roman;serif" w:hAnsi="Times New Roman;serif"/>
          <w:b/>
          <w:color w:val="000000"/>
          <w:sz w:val="20"/>
          <w:u w:val="single"/>
        </w:rPr>
      </w:pPr>
      <w:r>
        <w:rPr>
          <w:rFonts w:ascii="Times New Roman;serif" w:hAnsi="Times New Roman;serif"/>
          <w:b/>
          <w:color w:val="000000"/>
          <w:sz w:val="20"/>
          <w:u w:val="single"/>
        </w:rPr>
        <w:t>Third Quarter 2026 Balance Sheet Summary: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Common equity Tier 1 capital ratio</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under Basel III Standardized Approach of 13.8% as of September 30, 2026.</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Period-end loans held for investment in the quarter increased $5.4 billion, or 1 percent, to $462.5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Credit Card period-end loans increased $952 million, or less than 1 percent, to $276.4 billion.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Domestic Card period-end loans increased $1.2 billion, or less than 1 percent, to $260.3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Consumer Banking period-end loans increased $3.6 billion, or 4 percent, to $94.0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Auto period-end loans increased $3.6 billion, or 4 percent, to $92.9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Commercial Banking period-end loans increased $834 million, or 1 percent, to $92.1 billion.</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Average loans held for investment in the quarter increased $6.7 billion, or 1 percent, to $457.4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Credit Card average loans increased $2.5 billion, or 1 percent, to $273.7 billion.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Domestic Card average loans increased $2.7 billion, or 1 percent, to $257.3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Consumer Banking average loans increased $3.7 billion, or 4 percent, to $92.3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Auto average loans increased $3.8 billion, or 4 percent, to $91.2 billion.</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Commercial Banking average loans increased $481 million, or 1 percent, to $91.4 billion.</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Period-end total deposits decreased $3.6 billion, or 1 percent, to $480.7 billion, while average deposits decreased $4.2 billion, or 1 percent, to $482.6 billion.</w:t>
      </w:r>
    </w:p>
    <w:p>
      <w:pPr>
        <w:pStyle w:val="TextBody"/>
        <w:bidi w:val="0"/>
        <w:spacing w:lineRule="auto" w:line="288" w:before="180" w:after="180"/>
        <w:ind w:left="0" w:right="0" w:hanging="360"/>
        <w:jc w:val="left"/>
        <w:rPr/>
      </w:pPr>
      <w:r>
        <w:rPr>
          <w:color w:val="000000"/>
        </w:rPr>
        <w:t>•</w:t>
      </w:r>
      <w:r>
        <w:rPr>
          <w:rFonts w:ascii="Times New Roman;serif" w:hAnsi="Times New Roman;serif"/>
          <w:b w:val="false"/>
          <w:color w:val="000000"/>
          <w:sz w:val="20"/>
        </w:rPr>
        <w:t>Interest-bearing deposits rate paid increased 3 basis points to 2.94 percent.</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Capital One Third Quarter 2026 Earnings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13360"/>
                <wp:effectExtent l="0" t="0" r="0" b="0"/>
                <wp:wrapNone/>
                <wp:docPr id="7" name="Frame6"/>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60"/>
                              <w:ind w:left="0" w:right="0" w:hanging="36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ind w:left="0" w:right="0" w:hanging="36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Page 3</w:t>
      </w:r>
    </w:p>
    <w:p>
      <w:pPr>
        <w:pStyle w:val="TextBody"/>
        <w:bidi w:val="0"/>
        <w:spacing w:lineRule="auto" w:line="417" w:before="120" w:after="120"/>
        <w:jc w:val="left"/>
        <w:rPr/>
      </w:pPr>
      <w:r>
        <w:rPr>
          <w:rFonts w:ascii="Times New Roman;serif" w:hAnsi="Times New Roman;serif"/>
          <w:b/>
          <w:color w:val="000000"/>
          <w:sz w:val="20"/>
        </w:rPr>
        <w:t>Earnings Conference Call Webcast Information</w:t>
      </w:r>
      <w:r>
        <w:rPr>
          <w:color w:val="000000"/>
        </w:rPr>
        <w:t xml:space="preserve">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hold an earnings conference call on October 20, 2026 at 5:00 PM Eastern Time. The conference call will be accessible through live webcast. Interested investors and other individuals can access the webcast via the company’s home page (www.capitalone.com). Under “About,” choose “Investors” to access the Investor Center and view and/or download the earnings press release, the financial supplement, including a reconciliation of non-GAAP financial measures, and the earnings release presentation. The replay of the webcast will be archived on the company’s website through November 03, 2026 at 5:00 PM Eastern Time. </w:t>
      </w:r>
    </w:p>
    <w:p>
      <w:pPr>
        <w:pStyle w:val="TextBody"/>
        <w:bidi w:val="0"/>
        <w:spacing w:lineRule="auto" w:line="417" w:before="120" w:after="120"/>
        <w:jc w:val="both"/>
        <w:rPr/>
      </w:pPr>
      <w:r>
        <w:rPr>
          <w:rFonts w:ascii="Times New Roman;serif" w:hAnsi="Times New Roman;serif"/>
          <w:b/>
          <w:color w:val="000000"/>
          <w:sz w:val="20"/>
        </w:rPr>
        <w:t>Forward-Looking Statements</w:t>
      </w:r>
      <w:r>
        <w:rPr>
          <w:color w:val="000000"/>
        </w:rPr>
        <w:t xml:space="preserve"> </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release may constitute forward-looking statements, which involve a number of risks and uncertainties. Forward-looking statements often use words such as “will,” “anticipate,” “target,” “expect,” “think,” “estimate,” “intend,” “plan,” “goal,” “believe,” “forecast,” “outlook” or other words of similar meaning. Any forward-looking statements made by Capital One or on its behalf speak only as of the date they are made or as of the date indicated, and Capital One does not undertake any obligation to update forward-looking statements as a result of new information, future events or otherwise. Capital One cautions readers that any forward-looking information is not a guarantee of future performance and that actual results could differ materially from those contained in the forward-looking information due to a number of factors. For additional information on factors that could materially influence forward-looking statements included in this earnings press release, see the risk factors set forth under “Part I—Item 1A. Risk Factors” in the Annual Report on Form 10-K for the year ended December 31, 2025 filed with the Securities and Exchange Commission (the “SEC”) and Quarterly Reports on Form 10-Q and Current Reports on Form 8-K filed with the SEC. </w:t>
      </w:r>
    </w:p>
    <w:p>
      <w:pPr>
        <w:pStyle w:val="TextBody"/>
        <w:bidi w:val="0"/>
        <w:spacing w:lineRule="auto" w:line="417" w:before="120" w:after="120"/>
        <w:jc w:val="both"/>
        <w:rPr>
          <w:rFonts w:ascii="Times New Roman;serif" w:hAnsi="Times New Roman;serif"/>
          <w:b/>
          <w:color w:val="000000"/>
          <w:sz w:val="20"/>
        </w:rPr>
      </w:pPr>
      <w:r>
        <w:rPr>
          <w:rFonts w:ascii="Times New Roman;serif" w:hAnsi="Times New Roman;serif"/>
          <w:b/>
          <w:color w:val="000000"/>
          <w:sz w:val="20"/>
        </w:rPr>
        <w:t xml:space="preserve">About Capital One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Capital One Financial Corporation (NYSE: COF) is a leading technology-based financial services company with $480.7 billion in deposits and $672.9 billion in total assets as of September 30, 2026. Headquartered in McLean, Virginia, the company operates as a premier global payments provider and diversified financial institution, delivering a broad suite of products and consumer lifestyle and shopping experiences through its Credit Card, Consumer Banking including its Global Payment Network, and Commercial Banking lines of business. As the only major U.S. bank to migrate entirely to the public cloud, Capital One leverages proprietary data and advanced analytics to democratize financial tools across its primary markets in the United States, Canada, and the United Kingdom.</w:t>
      </w:r>
    </w:p>
    <w:p>
      <w:pPr>
        <w:pStyle w:val="TextBody"/>
        <w:bidi w:val="0"/>
        <w:spacing w:lineRule="auto" w:line="288" w:before="120" w:after="12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120" w:after="120"/>
        <w:jc w:val="center"/>
        <w:rPr/>
      </w:pPr>
      <w:r>
        <w:rPr/>
      </w:r>
    </w:p>
    <w:p>
      <w:pPr>
        <w:pStyle w:val="TextBody"/>
        <w:bidi w:val="0"/>
        <w:spacing w:before="120" w:after="1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357120"/>
                <wp:effectExtent l="0" t="0" r="0" b="0"/>
                <wp:wrapNone/>
                <wp:docPr id="8" name="Frame7"/>
                <a:graphic xmlns:a="http://schemas.openxmlformats.org/drawingml/2006/main">
                  <a:graphicData uri="http://schemas.microsoft.com/office/word/2010/wordprocessingShape">
                    <wps:wsp>
                      <wps:cNvSpPr txBox="1"/>
                      <wps:spPr>
                        <a:xfrm>
                          <a:off x="0" y="0"/>
                          <a:ext cx="6480175" cy="2357120"/>
                        </a:xfrm>
                        <a:prstGeom prst="rect"/>
                        <a:solidFill>
                          <a:srgbClr val="FFFFFF"/>
                        </a:solidFill>
                      </wps:spPr>
                      <wps:txbx>
                        <w:txbxContent>
                          <w:p>
                            <w:pPr>
                              <w:pStyle w:val="TextBody"/>
                              <w:bidi w:val="0"/>
                              <w:spacing w:before="60" w:after="6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0"/>
                              </w:rPr>
                              <w:t>(1)    </w:t>
                            </w:r>
                            <w:r>
                              <w:rPr>
                                <w:rFonts w:ascii="Times New Roman;serif" w:hAnsi="Times New Roman;serif"/>
                                <w:b w:val="false"/>
                                <w:color w:val="000000"/>
                                <w:sz w:val="16"/>
                              </w:rPr>
                              <w:t>Amounts excluding adjusting items are non-GAAP measures that we believe help investors and users of our financial information understand the effect of adjusting items on our selected reported results and provide alternate measurements of our performance, both in the current period and across periods. See our Financial Supplement, filed as Exhibit 99.2 to our Current Report on Form 8-K on October 20, 2026 with the SEC, “Table 15: Calculation of Regulatory Capital Measures and Reconciliation of Non-GAAP Measures for a reconciliation of our selected reported results to these non-GAAP measures.</w:t>
                            </w:r>
                          </w:p>
                          <w:p>
                            <w:pPr>
                              <w:pStyle w:val="TextBody"/>
                              <w:bidi w:val="0"/>
                              <w:spacing w:lineRule="auto" w:line="288" w:before="0" w:after="0"/>
                              <w:ind w:left="0" w:right="0" w:hanging="360"/>
                              <w:jc w:val="both"/>
                              <w:rPr/>
                            </w:pPr>
                            <w:r>
                              <w:rPr>
                                <w:rFonts w:ascii="Times New Roman;serif" w:hAnsi="Times New Roman;serif"/>
                                <w:b w:val="false"/>
                                <w:color w:val="000000"/>
                                <w:sz w:val="10"/>
                              </w:rPr>
                              <w:t>(2)    </w:t>
                            </w:r>
                            <w:r>
                              <w:rPr>
                                <w:rFonts w:ascii="Times New Roman;serif" w:hAnsi="Times New Roman;serif"/>
                                <w:b w:val="false"/>
                                <w:color w:val="000000"/>
                                <w:sz w:val="16"/>
                              </w:rPr>
                              <w:t xml:space="preserve">Includes purchase accounting-related amortization for acquisitions where integration expenses were also adjusted. </w:t>
                            </w:r>
                          </w:p>
                          <w:p>
                            <w:pPr>
                              <w:pStyle w:val="TextBody"/>
                              <w:bidi w:val="0"/>
                              <w:spacing w:lineRule="auto" w:line="288" w:before="0" w:after="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Pre-provision earnings is a non-GAAP metric calculated based on total net revenue less non-interest expense for the period. Management believes that this financial metric is useful in assessing the ability of a lending institution to generate income in excess of its provision for credit losses. See our Financial Supplement, filed as Exhibit 99.2 to our Current Report on Form 8-K on October 20, 2026 with the SEC, “Table 15: Calculation of Regulatory Capital Measures and Reconciliation of Non-GAAP Measures” for a reconciliation and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(4)    </w:t>
                            </w:r>
                            <w:r>
                              <w:rPr>
                                <w:rFonts w:ascii="Times New Roman;serif" w:hAnsi="Times New Roman;serif"/>
                                <w:b w:val="false"/>
                                <w:color w:val="000000"/>
                                <w:sz w:val="16"/>
                              </w:rPr>
                              <w:t>This is a non-GAAP measure. We believe non-GAAP measures help investors and users of our financial information understand the effect of adjusting items on our selected reported results and provide alternate measurements of our performance, both in the current period and across periods. See our Financial Supplement, filed as Exhibit 99.2 to our Current Report on Form 8-K on October 20, 2026 with the SEC, “Table 15: Calculation of Regulatory Capital Measures and Reconciliation of Non-GAAP Measures” for a reconciliation and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(5)    </w:t>
                            </w:r>
                            <w:r>
                              <w:rPr>
                                <w:rFonts w:ascii="Times New Roman;serif" w:hAnsi="Times New Roman;serif"/>
                                <w:b w:val="false"/>
                                <w:color w:val="000000"/>
                                <w:sz w:val="16"/>
                              </w:rPr>
                              <w:t>Regulatory capital metrics as of September 30, 2026 are preliminary and therefore subject to change.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8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6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0"/>
                        </w:rPr>
                        <w:t>(1)    </w:t>
                      </w:r>
                      <w:r>
                        <w:rPr>
                          <w:rFonts w:ascii="Times New Roman;serif" w:hAnsi="Times New Roman;serif"/>
                          <w:b w:val="false"/>
                          <w:color w:val="000000"/>
                          <w:sz w:val="16"/>
                        </w:rPr>
                        <w:t>Amounts excluding adjusting items are non-GAAP measures that we believe help investors and users of our financial information understand the effect of adjusting items on our selected reported results and provide alternate measurements of our performance, both in the current period and across periods. See our Financial Supplement, filed as Exhibit 99.2 to our Current Report on Form 8-K on October 20, 2026 with the SEC, “Table 15: Calculation of Regulatory Capital Measures and Reconciliation of Non-GAAP Measures for a reconciliation of our selected reported results to these non-GAAP measures.</w:t>
                      </w:r>
                    </w:p>
                    <w:p>
                      <w:pPr>
                        <w:pStyle w:val="TextBody"/>
                        <w:bidi w:val="0"/>
                        <w:spacing w:lineRule="auto" w:line="288" w:before="0" w:after="0"/>
                        <w:ind w:left="0" w:right="0" w:hanging="360"/>
                        <w:jc w:val="both"/>
                        <w:rPr/>
                      </w:pPr>
                      <w:r>
                        <w:rPr>
                          <w:rFonts w:ascii="Times New Roman;serif" w:hAnsi="Times New Roman;serif"/>
                          <w:b w:val="false"/>
                          <w:color w:val="000000"/>
                          <w:sz w:val="10"/>
                        </w:rPr>
                        <w:t>(2)    </w:t>
                      </w:r>
                      <w:r>
                        <w:rPr>
                          <w:rFonts w:ascii="Times New Roman;serif" w:hAnsi="Times New Roman;serif"/>
                          <w:b w:val="false"/>
                          <w:color w:val="000000"/>
                          <w:sz w:val="16"/>
                        </w:rPr>
                        <w:t xml:space="preserve">Includes purchase accounting-related amortization for acquisitions where integration expenses were also adjusted. </w:t>
                      </w:r>
                    </w:p>
                    <w:p>
                      <w:pPr>
                        <w:pStyle w:val="TextBody"/>
                        <w:bidi w:val="0"/>
                        <w:spacing w:lineRule="auto" w:line="288" w:before="0" w:after="0"/>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Pre-provision earnings is a non-GAAP metric calculated based on total net revenue less non-interest expense for the period. Management believes that this financial metric is useful in assessing the ability of a lending institution to generate income in excess of its provision for credit losses. See our Financial Supplement, filed as Exhibit 99.2 to our Current Report on Form 8-K on October 20, 2026 with the SEC, “Table 15: Calculation of Regulatory Capital Measures and Reconciliation of Non-GAAP Measures” for a reconciliation and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(4)    </w:t>
                      </w:r>
                      <w:r>
                        <w:rPr>
                          <w:rFonts w:ascii="Times New Roman;serif" w:hAnsi="Times New Roman;serif"/>
                          <w:b w:val="false"/>
                          <w:color w:val="000000"/>
                          <w:sz w:val="16"/>
                        </w:rPr>
                        <w:t>This is a non-GAAP measure. We believe non-GAAP measures help investors and users of our financial information understand the effect of adjusting items on our selected reported results and provide alternate measurements of our performance, both in the current period and across periods. See our Financial Supplement, filed as Exhibit 99.2 to our Current Report on Form 8-K on October 20, 2026 with the SEC, “Table 15: Calculation of Regulatory Capital Measures and Reconciliation of Non-GAAP Measures” for a reconciliation and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(5)    </w:t>
                      </w:r>
                      <w:r>
                        <w:rPr>
                          <w:rFonts w:ascii="Times New Roman;serif" w:hAnsi="Times New Roman;serif"/>
                          <w:b w:val="false"/>
                          <w:color w:val="000000"/>
                          <w:sz w:val="16"/>
                        </w:rPr>
                        <w:t>Regulatory capital metrics as of September 30, 2026 are preliminary and therefore subject to change.</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 One Financial Corporation</w:t>
      </w:r>
    </w:p>
    <w:p>
      <w:pPr>
        <w:pStyle w:val="TextBody"/>
        <w:bidi w:val="0"/>
        <w:spacing w:lineRule="auto" w:line="288" w:before="0" w:after="0"/>
        <w:jc w:val="center"/>
        <w:rPr/>
      </w:pPr>
      <w:r>
        <w:rPr>
          <w:rFonts w:ascii="Times New Roman;serif" w:hAnsi="Times New Roman;serif"/>
          <w:b/>
          <w:color w:val="000000"/>
          <w:sz w:val="20"/>
        </w:rPr>
        <w:t>Financial Supplement</w:t>
      </w:r>
      <w:r>
        <w:rPr>
          <w:rFonts w:ascii="Times New Roman;serif" w:hAnsi="Times New Roman;serif"/>
          <w:b/>
          <w:color w:val="000000"/>
          <w:sz w:val="13"/>
        </w:rPr>
        <w:t>(1)(2)(3)</w:t>
      </w:r>
    </w:p>
    <w:p>
      <w:pPr>
        <w:pStyle w:val="TextBody"/>
        <w:bidi w:val="0"/>
        <w:spacing w:lineRule="auto" w:line="288" w:before="0" w:after="0"/>
        <w:jc w:val="center"/>
        <w:rPr/>
      </w:pPr>
      <w:r>
        <w:rPr>
          <w:rFonts w:ascii="Times New Roman;serif" w:hAnsi="Times New Roman;serif"/>
          <w:b/>
          <w:color w:val="000000"/>
          <w:sz w:val="20"/>
        </w:rPr>
        <w:t>Third Quarter</w:t>
      </w:r>
      <w:r>
        <w:rPr>
          <w:color w:val="000000"/>
        </w:rPr>
        <w:t xml:space="preserve"> </w:t>
      </w:r>
      <w:r>
        <w:rPr>
          <w:rFonts w:ascii="Times New Roman;serif" w:hAnsi="Times New Roman;serif"/>
          <w:b/>
          <w:color w:val="000000"/>
          <w:sz w:val="20"/>
        </w:rPr>
        <w:t>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82"/>
        <w:gridCol w:w="421"/>
        <w:gridCol w:w="421"/>
        <w:gridCol w:w="451"/>
        <w:gridCol w:w="421"/>
        <w:gridCol w:w="421"/>
        <w:gridCol w:w="2343"/>
        <w:gridCol w:w="2330"/>
        <w:gridCol w:w="2399"/>
        <w:gridCol w:w="149"/>
        <w:gridCol w:w="149"/>
        <w:gridCol w:w="218"/>
      </w:tblGrid>
      <w:tr>
        <w:trPr/>
        <w:tc>
          <w:tcPr>
            <w:tcW w:w="48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6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One Financial Corporation Consolidated Results</w:t>
            </w:r>
          </w:p>
        </w:tc>
        <w:tc>
          <w:tcPr>
            <w:tcW w:w="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7">
              <w:r>
                <w:rPr>
                  <w:rStyle w:val="InternetLink"/>
                  <w:rFonts w:ascii="Times New Roman;serif" w:hAnsi="Times New Roman;serif"/>
                  <w:b/>
                  <w:strike w:val="false"/>
                  <w:dstrike w:val="false"/>
                  <w:color w:val="000000"/>
                  <w:sz w:val="18"/>
                  <w:u w:val="none"/>
                  <w:effect w:val="none"/>
                </w:rPr>
                <w:t>Table 1:</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7">
              <w:r>
                <w:rPr>
                  <w:rStyle w:val="InternetLink"/>
                  <w:rFonts w:ascii="Times New Roman;serif" w:hAnsi="Times New Roman;serif"/>
                  <w:b/>
                  <w:strike w:val="false"/>
                  <w:dstrike w:val="false"/>
                  <w:color w:val="000000"/>
                  <w:sz w:val="18"/>
                  <w:u w:val="none"/>
                  <w:effect w:val="none"/>
                </w:rPr>
                <w:t>Financial Summary—Consolidated</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7">
              <w:r>
                <w:rPr>
                  <w:rStyle w:val="InternetLink"/>
                  <w:rFonts w:ascii="Times New Roman;serif" w:hAnsi="Times New Roman;serif"/>
                  <w:b/>
                  <w:strike w:val="false"/>
                  <w:dstrike w:val="false"/>
                  <w:color w:val="000000"/>
                  <w:sz w:val="18"/>
                  <w:u w:val="none"/>
                  <w:effect w:val="none"/>
                </w:rPr>
                <w:t>1</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10">
              <w:r>
                <w:rPr>
                  <w:rStyle w:val="InternetLink"/>
                  <w:rFonts w:ascii="Times New Roman;serif" w:hAnsi="Times New Roman;serif"/>
                  <w:b/>
                  <w:strike w:val="false"/>
                  <w:dstrike w:val="false"/>
                  <w:color w:val="000000"/>
                  <w:sz w:val="18"/>
                  <w:u w:val="none"/>
                  <w:effect w:val="none"/>
                </w:rPr>
                <w:t>Table 2:</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10">
              <w:r>
                <w:rPr>
                  <w:rStyle w:val="InternetLink"/>
                  <w:rFonts w:ascii="Times New Roman;serif" w:hAnsi="Times New Roman;serif"/>
                  <w:b/>
                  <w:strike w:val="false"/>
                  <w:dstrike w:val="false"/>
                  <w:color w:val="000000"/>
                  <w:sz w:val="18"/>
                  <w:u w:val="none"/>
                  <w:effect w:val="none"/>
                </w:rPr>
                <w:t>Selected Metrics—Consolidated</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10">
              <w:r>
                <w:rPr>
                  <w:rStyle w:val="InternetLink"/>
                  <w:rFonts w:ascii="Times New Roman;serif" w:hAnsi="Times New Roman;serif"/>
                  <w:b/>
                  <w:strike w:val="false"/>
                  <w:dstrike w:val="false"/>
                  <w:color w:val="000000"/>
                  <w:sz w:val="18"/>
                  <w:u w:val="none"/>
                  <w:effect w:val="none"/>
                </w:rPr>
                <w:t>3</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13">
              <w:r>
                <w:rPr>
                  <w:rStyle w:val="InternetLink"/>
                  <w:rFonts w:ascii="Times New Roman;serif" w:hAnsi="Times New Roman;serif"/>
                  <w:b/>
                  <w:strike w:val="false"/>
                  <w:dstrike w:val="false"/>
                  <w:color w:val="000000"/>
                  <w:sz w:val="18"/>
                  <w:u w:val="none"/>
                  <w:effect w:val="none"/>
                </w:rPr>
                <w:t>Table 3:</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13">
              <w:r>
                <w:rPr>
                  <w:rStyle w:val="InternetLink"/>
                  <w:rFonts w:ascii="Times New Roman;serif" w:hAnsi="Times New Roman;serif"/>
                  <w:b/>
                  <w:strike w:val="false"/>
                  <w:dstrike w:val="false"/>
                  <w:color w:val="000000"/>
                  <w:sz w:val="18"/>
                  <w:u w:val="none"/>
                  <w:effect w:val="none"/>
                </w:rPr>
                <w:t>Consolidated Statements of Income</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13">
              <w:r>
                <w:rPr>
                  <w:rStyle w:val="InternetLink"/>
                  <w:rFonts w:ascii="Times New Roman;serif" w:hAnsi="Times New Roman;serif"/>
                  <w:b/>
                  <w:strike w:val="false"/>
                  <w:dstrike w:val="false"/>
                  <w:color w:val="000000"/>
                  <w:sz w:val="18"/>
                  <w:u w:val="none"/>
                  <w:effect w:val="none"/>
                </w:rPr>
                <w:t>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16">
              <w:r>
                <w:rPr>
                  <w:rStyle w:val="InternetLink"/>
                  <w:rFonts w:ascii="Times New Roman;serif" w:hAnsi="Times New Roman;serif"/>
                  <w:b/>
                  <w:strike w:val="false"/>
                  <w:dstrike w:val="false"/>
                  <w:color w:val="000000"/>
                  <w:sz w:val="18"/>
                  <w:u w:val="none"/>
                  <w:effect w:val="none"/>
                </w:rPr>
                <w:t>Table 4:</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16">
              <w:r>
                <w:rPr>
                  <w:rStyle w:val="InternetLink"/>
                  <w:rFonts w:ascii="Times New Roman;serif" w:hAnsi="Times New Roman;serif"/>
                  <w:b/>
                  <w:strike w:val="false"/>
                  <w:dstrike w:val="false"/>
                  <w:color w:val="000000"/>
                  <w:sz w:val="18"/>
                  <w:u w:val="none"/>
                  <w:effect w:val="none"/>
                </w:rPr>
                <w:t>Consolidated Balance Sheets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16">
              <w:r>
                <w:rPr>
                  <w:rStyle w:val="InternetLink"/>
                  <w:rFonts w:ascii="Times New Roman;serif" w:hAnsi="Times New Roman;serif"/>
                  <w:b/>
                  <w:strike w:val="false"/>
                  <w:dstrike w:val="false"/>
                  <w:color w:val="000000"/>
                  <w:sz w:val="18"/>
                  <w:u w:val="none"/>
                  <w:effect w:val="none"/>
                </w:rPr>
                <w:t>6</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22">
              <w:r>
                <w:rPr>
                  <w:rStyle w:val="InternetLink"/>
                  <w:rFonts w:ascii="Times New Roman;serif" w:hAnsi="Times New Roman;serif"/>
                  <w:b/>
                  <w:strike w:val="false"/>
                  <w:dstrike w:val="false"/>
                  <w:color w:val="000000"/>
                  <w:sz w:val="18"/>
                  <w:u w:val="none"/>
                  <w:effect w:val="none"/>
                </w:rPr>
                <w:t>Table 5:</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22">
              <w:r>
                <w:rPr>
                  <w:rStyle w:val="InternetLink"/>
                  <w:rFonts w:ascii="Times New Roman;serif" w:hAnsi="Times New Roman;serif"/>
                  <w:b/>
                  <w:strike w:val="false"/>
                  <w:dstrike w:val="false"/>
                  <w:color w:val="000000"/>
                  <w:sz w:val="18"/>
                  <w:u w:val="none"/>
                  <w:effect w:val="none"/>
                </w:rPr>
                <w:t>Notes to Financial Summary, Selected Metrics and Consolidated Financial Statements (Tables 1—4)</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22">
              <w:r>
                <w:rPr>
                  <w:rStyle w:val="InternetLink"/>
                  <w:rFonts w:ascii="Times New Roman;serif" w:hAnsi="Times New Roman;serif"/>
                  <w:b/>
                  <w:strike w:val="false"/>
                  <w:dstrike w:val="false"/>
                  <w:color w:val="000000"/>
                  <w:sz w:val="18"/>
                  <w:u w:val="none"/>
                  <w:effect w:val="none"/>
                </w:rPr>
                <w:t>8</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25">
              <w:r>
                <w:rPr>
                  <w:rStyle w:val="InternetLink"/>
                  <w:rFonts w:ascii="Times New Roman;serif" w:hAnsi="Times New Roman;serif"/>
                  <w:b/>
                  <w:strike w:val="false"/>
                  <w:dstrike w:val="false"/>
                  <w:color w:val="000000"/>
                  <w:sz w:val="18"/>
                  <w:u w:val="none"/>
                  <w:effect w:val="none"/>
                </w:rPr>
                <w:t>Table 6:</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25">
              <w:r>
                <w:rPr>
                  <w:rStyle w:val="InternetLink"/>
                  <w:rFonts w:ascii="Times New Roman;serif" w:hAnsi="Times New Roman;serif"/>
                  <w:b/>
                  <w:strike w:val="false"/>
                  <w:dstrike w:val="false"/>
                  <w:color w:val="000000"/>
                  <w:sz w:val="18"/>
                  <w:u w:val="none"/>
                  <w:effect w:val="none"/>
                </w:rPr>
                <w:t>Average Balances, Net Interest Income and Net Interest Margin</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25">
              <w:r>
                <w:rPr>
                  <w:rStyle w:val="InternetLink"/>
                  <w:rFonts w:ascii="Times New Roman;serif" w:hAnsi="Times New Roman;serif"/>
                  <w:b/>
                  <w:strike w:val="false"/>
                  <w:dstrike w:val="false"/>
                  <w:color w:val="000000"/>
                  <w:sz w:val="18"/>
                  <w:u w:val="none"/>
                  <w:effect w:val="none"/>
                </w:rPr>
                <w:t>9</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34">
              <w:r>
                <w:rPr>
                  <w:rStyle w:val="InternetLink"/>
                  <w:rFonts w:ascii="Times New Roman;serif" w:hAnsi="Times New Roman;serif"/>
                  <w:b/>
                  <w:strike w:val="false"/>
                  <w:dstrike w:val="false"/>
                  <w:color w:val="000000"/>
                  <w:sz w:val="18"/>
                  <w:u w:val="none"/>
                  <w:effect w:val="none"/>
                </w:rPr>
                <w:t>Table 7:</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34">
              <w:r>
                <w:rPr>
                  <w:rStyle w:val="InternetLink"/>
                  <w:rFonts w:ascii="Times New Roman;serif" w:hAnsi="Times New Roman;serif"/>
                  <w:b/>
                  <w:strike w:val="false"/>
                  <w:dstrike w:val="false"/>
                  <w:color w:val="000000"/>
                  <w:sz w:val="18"/>
                  <w:u w:val="none"/>
                  <w:effect w:val="none"/>
                </w:rPr>
                <w:t>Loan Information and Performance Statistics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34">
              <w:r>
                <w:rPr>
                  <w:rStyle w:val="InternetLink"/>
                  <w:rFonts w:ascii="Times New Roman;serif" w:hAnsi="Times New Roman;serif"/>
                  <w:b/>
                  <w:strike w:val="false"/>
                  <w:dstrike w:val="false"/>
                  <w:color w:val="000000"/>
                  <w:sz w:val="18"/>
                  <w:u w:val="none"/>
                  <w:effect w:val="none"/>
                </w:rPr>
                <w:t>10</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37">
              <w:r>
                <w:rPr>
                  <w:rStyle w:val="InternetLink"/>
                  <w:rFonts w:ascii="Times New Roman;serif" w:hAnsi="Times New Roman;serif"/>
                  <w:b/>
                  <w:strike w:val="false"/>
                  <w:dstrike w:val="false"/>
                  <w:color w:val="000000"/>
                  <w:sz w:val="18"/>
                  <w:u w:val="none"/>
                  <w:effect w:val="none"/>
                </w:rPr>
                <w:t>Table 8:</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37">
              <w:r>
                <w:rPr>
                  <w:rStyle w:val="InternetLink"/>
                  <w:rFonts w:ascii="Times New Roman;serif" w:hAnsi="Times New Roman;serif"/>
                  <w:b/>
                  <w:strike w:val="false"/>
                  <w:dstrike w:val="false"/>
                  <w:color w:val="000000"/>
                  <w:sz w:val="18"/>
                  <w:u w:val="none"/>
                  <w:effect w:val="none"/>
                </w:rPr>
                <w:t>Allowance for Credit Losses and Reserve for Unfunded Lending Commitments Activity</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37">
              <w:r>
                <w:rPr>
                  <w:rStyle w:val="InternetLink"/>
                  <w:rFonts w:ascii="Times New Roman;serif" w:hAnsi="Times New Roman;serif"/>
                  <w:b/>
                  <w:strike w:val="false"/>
                  <w:dstrike w:val="false"/>
                  <w:color w:val="000000"/>
                  <w:sz w:val="18"/>
                  <w:u w:val="none"/>
                  <w:effect w:val="none"/>
                </w:rPr>
                <w:t>13</w:t>
              </w:r>
            </w:hyperlink>
          </w:p>
        </w:tc>
      </w:tr>
      <w:tr>
        <w:trPr/>
        <w:tc>
          <w:tcPr>
            <w:tcW w:w="96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Business Segment Results</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40">
              <w:r>
                <w:rPr>
                  <w:rStyle w:val="InternetLink"/>
                  <w:rFonts w:ascii="Times New Roman;serif" w:hAnsi="Times New Roman;serif"/>
                  <w:b/>
                  <w:strike w:val="false"/>
                  <w:dstrike w:val="false"/>
                  <w:color w:val="000000"/>
                  <w:sz w:val="18"/>
                  <w:u w:val="none"/>
                  <w:effect w:val="none"/>
                </w:rPr>
                <w:t>Table 9:</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40">
              <w:r>
                <w:rPr>
                  <w:rStyle w:val="InternetLink"/>
                  <w:rFonts w:ascii="Times New Roman;serif" w:hAnsi="Times New Roman;serif"/>
                  <w:b/>
                  <w:strike w:val="false"/>
                  <w:dstrike w:val="false"/>
                  <w:color w:val="000000"/>
                  <w:sz w:val="18"/>
                  <w:u w:val="none"/>
                  <w:effect w:val="none"/>
                </w:rPr>
                <w:t>Financial Summary—Business Segment Results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40">
              <w:r>
                <w:rPr>
                  <w:rStyle w:val="InternetLink"/>
                  <w:rFonts w:ascii="Times New Roman;serif" w:hAnsi="Times New Roman;serif"/>
                  <w:b/>
                  <w:strike w:val="false"/>
                  <w:dstrike w:val="false"/>
                  <w:color w:val="000000"/>
                  <w:sz w:val="18"/>
                  <w:u w:val="none"/>
                  <w:effect w:val="none"/>
                </w:rPr>
                <w:t>14</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43">
              <w:r>
                <w:rPr>
                  <w:rStyle w:val="InternetLink"/>
                  <w:rFonts w:ascii="Times New Roman;serif" w:hAnsi="Times New Roman;serif"/>
                  <w:b/>
                  <w:strike w:val="false"/>
                  <w:dstrike w:val="false"/>
                  <w:color w:val="000000"/>
                  <w:sz w:val="18"/>
                  <w:u w:val="none"/>
                  <w:effect w:val="none"/>
                </w:rPr>
                <w:t>Table 10:</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43">
              <w:r>
                <w:rPr>
                  <w:rStyle w:val="InternetLink"/>
                  <w:rFonts w:ascii="Times New Roman;serif" w:hAnsi="Times New Roman;serif"/>
                  <w:b/>
                  <w:strike w:val="false"/>
                  <w:dstrike w:val="false"/>
                  <w:color w:val="000000"/>
                  <w:sz w:val="18"/>
                  <w:u w:val="none"/>
                  <w:effect w:val="none"/>
                </w:rPr>
                <w:t>Financial &amp; Statistical Summary—Credit Card Business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43">
              <w:r>
                <w:rPr>
                  <w:rStyle w:val="InternetLink"/>
                  <w:rFonts w:ascii="Times New Roman;serif" w:hAnsi="Times New Roman;serif"/>
                  <w:b/>
                  <w:strike w:val="false"/>
                  <w:dstrike w:val="false"/>
                  <w:color w:val="000000"/>
                  <w:sz w:val="18"/>
                  <w:u w:val="none"/>
                  <w:effect w:val="none"/>
                </w:rPr>
                <w:t>15</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46">
              <w:r>
                <w:rPr>
                  <w:rStyle w:val="InternetLink"/>
                  <w:rFonts w:ascii="Times New Roman;serif" w:hAnsi="Times New Roman;serif"/>
                  <w:b/>
                  <w:strike w:val="false"/>
                  <w:dstrike w:val="false"/>
                  <w:color w:val="000000"/>
                  <w:sz w:val="18"/>
                  <w:u w:val="none"/>
                  <w:effect w:val="none"/>
                </w:rPr>
                <w:t>Table 11:</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46">
              <w:r>
                <w:rPr>
                  <w:rStyle w:val="InternetLink"/>
                  <w:rFonts w:ascii="Times New Roman;serif" w:hAnsi="Times New Roman;serif"/>
                  <w:b/>
                  <w:strike w:val="false"/>
                  <w:dstrike w:val="false"/>
                  <w:color w:val="000000"/>
                  <w:sz w:val="18"/>
                  <w:u w:val="none"/>
                  <w:effect w:val="none"/>
                </w:rPr>
                <w:t>Financial &amp; Statistical Summary—Consumer Banking Business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46">
              <w:r>
                <w:rPr>
                  <w:rStyle w:val="InternetLink"/>
                  <w:rFonts w:ascii="Times New Roman;serif" w:hAnsi="Times New Roman;serif"/>
                  <w:b/>
                  <w:strike w:val="false"/>
                  <w:dstrike w:val="false"/>
                  <w:color w:val="000000"/>
                  <w:sz w:val="18"/>
                  <w:u w:val="none"/>
                  <w:effect w:val="none"/>
                </w:rPr>
                <w:t>17</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49">
              <w:r>
                <w:rPr>
                  <w:rStyle w:val="InternetLink"/>
                  <w:rFonts w:ascii="Times New Roman;serif" w:hAnsi="Times New Roman;serif"/>
                  <w:b/>
                  <w:strike w:val="false"/>
                  <w:dstrike w:val="false"/>
                  <w:color w:val="000000"/>
                  <w:sz w:val="18"/>
                  <w:u w:val="none"/>
                  <w:effect w:val="none"/>
                </w:rPr>
                <w:t>Table 12:</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49">
              <w:r>
                <w:rPr>
                  <w:rStyle w:val="InternetLink"/>
                  <w:rFonts w:ascii="Times New Roman;serif" w:hAnsi="Times New Roman;serif"/>
                  <w:b/>
                  <w:strike w:val="false"/>
                  <w:dstrike w:val="false"/>
                  <w:color w:val="000000"/>
                  <w:sz w:val="18"/>
                  <w:u w:val="none"/>
                  <w:effect w:val="none"/>
                </w:rPr>
                <w:t>Financial &amp; Statistical Summary—Commercial Banking Business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49">
              <w:r>
                <w:rPr>
                  <w:rStyle w:val="InternetLink"/>
                  <w:rFonts w:ascii="Times New Roman;serif" w:hAnsi="Times New Roman;serif"/>
                  <w:b/>
                  <w:strike w:val="false"/>
                  <w:dstrike w:val="false"/>
                  <w:color w:val="000000"/>
                  <w:sz w:val="18"/>
                  <w:u w:val="none"/>
                  <w:effect w:val="none"/>
                </w:rPr>
                <w:t>18</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52">
              <w:r>
                <w:rPr>
                  <w:rStyle w:val="InternetLink"/>
                  <w:rFonts w:ascii="Times New Roman;serif" w:hAnsi="Times New Roman;serif"/>
                  <w:b/>
                  <w:strike w:val="false"/>
                  <w:dstrike w:val="false"/>
                  <w:color w:val="000000"/>
                  <w:sz w:val="18"/>
                  <w:u w:val="none"/>
                  <w:effect w:val="none"/>
                </w:rPr>
                <w:t>Table 13:</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52">
              <w:r>
                <w:rPr>
                  <w:rStyle w:val="InternetLink"/>
                  <w:rFonts w:ascii="Times New Roman;serif" w:hAnsi="Times New Roman;serif"/>
                  <w:b/>
                  <w:strike w:val="false"/>
                  <w:dstrike w:val="false"/>
                  <w:color w:val="000000"/>
                  <w:sz w:val="18"/>
                  <w:u w:val="none"/>
                  <w:effect w:val="none"/>
                </w:rPr>
                <w:t>Financial &amp; Statistical Summary—Other and Total</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52">
              <w:r>
                <w:rPr>
                  <w:rStyle w:val="InternetLink"/>
                  <w:rFonts w:ascii="Times New Roman;serif" w:hAnsi="Times New Roman;serif"/>
                  <w:b/>
                  <w:strike w:val="false"/>
                  <w:dstrike w:val="false"/>
                  <w:color w:val="000000"/>
                  <w:sz w:val="18"/>
                  <w:u w:val="none"/>
                  <w:effect w:val="none"/>
                </w:rPr>
                <w:t>19</w:t>
              </w:r>
            </w:hyperlink>
          </w:p>
        </w:tc>
      </w:tr>
      <w:tr>
        <w:trPr/>
        <w:tc>
          <w:tcPr>
            <w:tcW w:w="96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58">
              <w:r>
                <w:rPr>
                  <w:rStyle w:val="InternetLink"/>
                  <w:rFonts w:ascii="Times New Roman;serif" w:hAnsi="Times New Roman;serif"/>
                  <w:b/>
                  <w:strike w:val="false"/>
                  <w:dstrike w:val="false"/>
                  <w:color w:val="000000"/>
                  <w:sz w:val="18"/>
                  <w:u w:val="none"/>
                  <w:effect w:val="none"/>
                </w:rPr>
                <w:t>Table 14:</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58">
              <w:r>
                <w:rPr>
                  <w:rStyle w:val="InternetLink"/>
                  <w:rFonts w:ascii="Times New Roman;serif" w:hAnsi="Times New Roman;serif"/>
                  <w:b/>
                  <w:strike w:val="false"/>
                  <w:dstrike w:val="false"/>
                  <w:color w:val="000000"/>
                  <w:sz w:val="18"/>
                  <w:u w:val="none"/>
                  <w:effect w:val="none"/>
                </w:rPr>
                <w:t>Notes to Net Interest Margin, Loan, Allowance and Business Segment Disclosures (Tables 6—13)</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58">
              <w:r>
                <w:rPr>
                  <w:rStyle w:val="InternetLink"/>
                  <w:rFonts w:ascii="Times New Roman;serif" w:hAnsi="Times New Roman;serif"/>
                  <w:b/>
                  <w:strike w:val="false"/>
                  <w:dstrike w:val="false"/>
                  <w:color w:val="000000"/>
                  <w:sz w:val="18"/>
                  <w:u w:val="none"/>
                  <w:effect w:val="none"/>
                </w:rPr>
                <w:t>20</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64">
              <w:r>
                <w:rPr>
                  <w:rStyle w:val="InternetLink"/>
                  <w:rFonts w:ascii="Times New Roman;serif" w:hAnsi="Times New Roman;serif"/>
                  <w:b/>
                  <w:strike w:val="false"/>
                  <w:dstrike w:val="false"/>
                  <w:color w:val="000000"/>
                  <w:sz w:val="18"/>
                  <w:u w:val="none"/>
                  <w:effect w:val="none"/>
                </w:rPr>
                <w:t>Table 15:</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64">
              <w:r>
                <w:rPr>
                  <w:rStyle w:val="InternetLink"/>
                  <w:rFonts w:ascii="Times New Roman;serif" w:hAnsi="Times New Roman;serif"/>
                  <w:b/>
                  <w:strike w:val="false"/>
                  <w:dstrike w:val="false"/>
                  <w:color w:val="000000"/>
                  <w:sz w:val="18"/>
                  <w:u w:val="none"/>
                  <w:effect w:val="none"/>
                </w:rPr>
                <w:t>Calculation of Regulatory Capital Measures and Reconciliation of Non-GAAP Measures</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64">
              <w:r>
                <w:rPr>
                  <w:rStyle w:val="InternetLink"/>
                  <w:rFonts w:ascii="Times New Roman;serif" w:hAnsi="Times New Roman;serif"/>
                  <w:b/>
                  <w:strike w:val="false"/>
                  <w:dstrike w:val="false"/>
                  <w:color w:val="000000"/>
                  <w:sz w:val="18"/>
                  <w:u w:val="none"/>
                  <w:effect w:val="none"/>
                </w:rPr>
                <w:t>21</w:t>
              </w:r>
            </w:hyperlink>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70">
              <w:r>
                <w:rPr>
                  <w:rStyle w:val="InternetLink"/>
                  <w:rFonts w:ascii="Times New Roman;serif" w:hAnsi="Times New Roman;serif"/>
                  <w:b/>
                  <w:strike w:val="false"/>
                  <w:dstrike w:val="false"/>
                  <w:color w:val="000000"/>
                  <w:sz w:val="18"/>
                  <w:u w:val="none"/>
                  <w:effect w:val="none"/>
                </w:rPr>
                <w:t>Table 16:</w:t>
              </w:r>
            </w:hyperlink>
          </w:p>
        </w:tc>
        <w:tc>
          <w:tcPr>
            <w:tcW w:w="70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ed038f0c4e45c1909fe3769bc252b8_70">
              <w:r>
                <w:rPr>
                  <w:rStyle w:val="InternetLink"/>
                  <w:rFonts w:ascii="Times New Roman;serif" w:hAnsi="Times New Roman;serif"/>
                  <w:b/>
                  <w:strike w:val="false"/>
                  <w:dstrike w:val="false"/>
                  <w:color w:val="000000"/>
                  <w:sz w:val="18"/>
                  <w:u w:val="none"/>
                  <w:effect w:val="none"/>
                </w:rPr>
                <w:t>Notes to Calculation of Regulatory Capital Measures and Reconciliation of Non-GAAP Measures (Table 15)</w:t>
              </w:r>
            </w:hyperlink>
          </w:p>
        </w:tc>
        <w:tc>
          <w:tcPr>
            <w:tcW w:w="5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eed038f0c4e45c1909fe3769bc252b8_70">
              <w:r>
                <w:rPr>
                  <w:rStyle w:val="InternetLink"/>
                  <w:rFonts w:ascii="Times New Roman;serif" w:hAnsi="Times New Roman;serif"/>
                  <w:b/>
                  <w:strike w:val="false"/>
                  <w:dstrike w:val="false"/>
                  <w:color w:val="000000"/>
                  <w:sz w:val="18"/>
                  <w:u w:val="none"/>
                  <w:effect w:val="none"/>
                </w:rPr>
                <w:t>26</w:t>
              </w:r>
            </w:hyperlink>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60" w:after="283"/>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The information contained in this Financial Supplement is preliminary and based on data available at the time of the earnings presentation. Investors should refer to our Quarterly Report on Form 10-Q for the period ended September 30, 2026 once it is filed with the Securities and Exchange Commission.</w:t>
      </w:r>
    </w:p>
    <w:p>
      <w:pPr>
        <w:pStyle w:val="TextBody"/>
        <w:bidi w:val="0"/>
        <w:spacing w:lineRule="auto" w:line="288" w:before="60" w:after="6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This Financial Supplement includes non-GAAP measures. We believe these non-GAAP measures are useful to investors and users of our financial information as they provide an alternate measurement of our performance and assist when assessing returns and capital management over time. These non-GAAP measures should not be viewed as a substitute for reported results determined in accordance with generally accepted accounting principles in the U.S. (“GAAP”), nor are they necessarily comparable to non-GAAP measures that may be presented by other companies. See “Table 15: Calculation of Regulatory Capital Measures and Reconciliation of Non-GAAP Measures” for a reconciliation of any non-GAAP financial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(3)</w:t>
      </w:r>
      <w:r>
        <w:rPr>
          <w:rFonts w:ascii="Times New Roman;serif" w:hAnsi="Times New Roman;serif"/>
          <w:b w:val="false"/>
          <w:color w:val="000000"/>
          <w:sz w:val="16"/>
        </w:rPr>
        <w:t xml:space="preserve">On April 7, 2026, we completed the acquisition of Brex in a combination of stock and cash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 Financial Summary—Consolidated             </w:t>
      </w:r>
    </w:p>
    <w:tbl>
      <w:tblPr>
        <w:tblW w:w="13074" w:type="dxa"/>
        <w:jc w:val="left"/>
        <w:tblInd w:w="0" w:type="dxa"/>
        <w:tblLayout w:type="fixed"/>
        <w:tblCellMar>
          <w:top w:w="28" w:type="dxa"/>
          <w:left w:w="28" w:type="dxa"/>
          <w:bottom w:w="28" w:type="dxa"/>
          <w:right w:w="28" w:type="dxa"/>
        </w:tblCellMar>
      </w:tblPr>
      <w:tblGrid>
        <w:gridCol w:w="1005"/>
        <w:gridCol w:w="225"/>
        <w:gridCol w:w="226"/>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55"/>
        <w:gridCol w:w="155"/>
        <w:gridCol w:w="156"/>
        <w:gridCol w:w="109"/>
        <w:gridCol w:w="109"/>
        <w:gridCol w:w="109"/>
        <w:gridCol w:w="155"/>
        <w:gridCol w:w="155"/>
        <w:gridCol w:w="156"/>
        <w:gridCol w:w="109"/>
        <w:gridCol w:w="109"/>
        <w:gridCol w:w="109"/>
        <w:gridCol w:w="196"/>
        <w:gridCol w:w="661"/>
        <w:gridCol w:w="109"/>
        <w:gridCol w:w="109"/>
        <w:gridCol w:w="109"/>
        <w:gridCol w:w="109"/>
        <w:gridCol w:w="196"/>
        <w:gridCol w:w="646"/>
        <w:gridCol w:w="109"/>
        <w:gridCol w:w="109"/>
        <w:gridCol w:w="109"/>
        <w:gridCol w:w="109"/>
        <w:gridCol w:w="155"/>
        <w:gridCol w:w="155"/>
        <w:gridCol w:w="156"/>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per share data and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Statement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47,425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21,611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26,363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Dividends and undistributed earnings allocated to participating securities</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Impacts from preferred stock 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Common Share Statistics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Basic earnings per common share:</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basic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Diluted earnings per common share:</w:t>
            </w:r>
            <w:r>
              <w:rPr>
                <w:rFonts w:ascii="Times New Roman;serif" w:hAnsi="Times New Roman;serif"/>
                <w:b/>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diluted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Weighted-average common shares outstanding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outstanding (period-end,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and paid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book value per common share (period-end)</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tbl>
      <w:tblPr>
        <w:tblW w:w="13246" w:type="dxa"/>
        <w:jc w:val="left"/>
        <w:tblInd w:w="0" w:type="dxa"/>
        <w:tblLayout w:type="fixed"/>
        <w:tblCellMar>
          <w:top w:w="28" w:type="dxa"/>
          <w:left w:w="28" w:type="dxa"/>
          <w:bottom w:w="28" w:type="dxa"/>
          <w:right w:w="28" w:type="dxa"/>
        </w:tblCellMar>
      </w:tblPr>
      <w:tblGrid>
        <w:gridCol w:w="758"/>
        <w:gridCol w:w="237"/>
        <w:gridCol w:w="221"/>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55"/>
        <w:gridCol w:w="155"/>
        <w:gridCol w:w="156"/>
        <w:gridCol w:w="109"/>
        <w:gridCol w:w="109"/>
        <w:gridCol w:w="109"/>
        <w:gridCol w:w="155"/>
        <w:gridCol w:w="155"/>
        <w:gridCol w:w="156"/>
        <w:gridCol w:w="109"/>
        <w:gridCol w:w="109"/>
        <w:gridCol w:w="109"/>
        <w:gridCol w:w="196"/>
        <w:gridCol w:w="751"/>
        <w:gridCol w:w="109"/>
        <w:gridCol w:w="109"/>
        <w:gridCol w:w="109"/>
        <w:gridCol w:w="109"/>
        <w:gridCol w:w="196"/>
        <w:gridCol w:w="736"/>
        <w:gridCol w:w="109"/>
        <w:gridCol w:w="109"/>
        <w:gridCol w:w="109"/>
        <w:gridCol w:w="109"/>
        <w:gridCol w:w="149"/>
        <w:gridCol w:w="149"/>
        <w:gridCol w:w="213"/>
      </w:tblGrid>
      <w:tr>
        <w:trPr/>
        <w:tc>
          <w:tcPr>
            <w:tcW w:w="7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610,799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610,799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672,867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672,867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453,006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453,006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480,697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480,697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(Average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457,380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451,472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612,521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615,741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676,168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678,056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454,245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454,785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482,613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483,130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48,061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49,818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108,486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108,913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2: Selected Metrics—Consolidated</w:t>
      </w:r>
    </w:p>
    <w:tbl>
      <w:tblPr>
        <w:tblW w:w="13573" w:type="dxa"/>
        <w:jc w:val="left"/>
        <w:tblInd w:w="0" w:type="dxa"/>
        <w:tblLayout w:type="fixed"/>
        <w:tblCellMar>
          <w:top w:w="28" w:type="dxa"/>
          <w:left w:w="28" w:type="dxa"/>
          <w:bottom w:w="28" w:type="dxa"/>
          <w:right w:w="28" w:type="dxa"/>
        </w:tblCellMar>
      </w:tblPr>
      <w:tblGrid>
        <w:gridCol w:w="615"/>
        <w:gridCol w:w="225"/>
        <w:gridCol w:w="226"/>
        <w:gridCol w:w="109"/>
        <w:gridCol w:w="109"/>
        <w:gridCol w:w="109"/>
        <w:gridCol w:w="366"/>
        <w:gridCol w:w="258"/>
        <w:gridCol w:w="343"/>
        <w:gridCol w:w="109"/>
        <w:gridCol w:w="109"/>
        <w:gridCol w:w="109"/>
        <w:gridCol w:w="356"/>
        <w:gridCol w:w="272"/>
        <w:gridCol w:w="329"/>
        <w:gridCol w:w="109"/>
        <w:gridCol w:w="109"/>
        <w:gridCol w:w="109"/>
        <w:gridCol w:w="356"/>
        <w:gridCol w:w="272"/>
        <w:gridCol w:w="329"/>
        <w:gridCol w:w="109"/>
        <w:gridCol w:w="109"/>
        <w:gridCol w:w="109"/>
        <w:gridCol w:w="356"/>
        <w:gridCol w:w="272"/>
        <w:gridCol w:w="329"/>
        <w:gridCol w:w="109"/>
        <w:gridCol w:w="109"/>
        <w:gridCol w:w="109"/>
        <w:gridCol w:w="356"/>
        <w:gridCol w:w="272"/>
        <w:gridCol w:w="329"/>
        <w:gridCol w:w="109"/>
        <w:gridCol w:w="109"/>
        <w:gridCol w:w="109"/>
        <w:gridCol w:w="216"/>
        <w:gridCol w:w="220"/>
        <w:gridCol w:w="346"/>
        <w:gridCol w:w="109"/>
        <w:gridCol w:w="109"/>
        <w:gridCol w:w="109"/>
        <w:gridCol w:w="215"/>
        <w:gridCol w:w="221"/>
        <w:gridCol w:w="346"/>
        <w:gridCol w:w="109"/>
        <w:gridCol w:w="109"/>
        <w:gridCol w:w="109"/>
        <w:gridCol w:w="366"/>
        <w:gridCol w:w="258"/>
        <w:gridCol w:w="343"/>
        <w:gridCol w:w="109"/>
        <w:gridCol w:w="109"/>
        <w:gridCol w:w="109"/>
        <w:gridCol w:w="363"/>
        <w:gridCol w:w="267"/>
        <w:gridCol w:w="334"/>
        <w:gridCol w:w="109"/>
        <w:gridCol w:w="109"/>
        <w:gridCol w:w="109"/>
        <w:gridCol w:w="276"/>
        <w:gridCol w:w="280"/>
        <w:gridCol w:w="391"/>
      </w:tblGrid>
      <w:tr>
        <w:trPr/>
        <w:tc>
          <w:tcPr>
            <w:tcW w:w="6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growth (period over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 growth (period over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 growth (period over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 margin</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10.67</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10.27</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70bps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interest margin</w:t>
            </w: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8.41</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8.10</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average assets</w:t>
            </w:r>
            <w:r>
              <w:rPr>
                <w:rFonts w:ascii="Times New Roman;serif" w:hAnsi="Times New Roman;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average tangible assets</w:t>
            </w:r>
            <w:r>
              <w:rPr>
                <w:rFonts w:ascii="Times New Roman;serif" w:hAnsi="Times New Roman;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2.24</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average common equity</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12.62</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10.34</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average tangible common equity</w:t>
            </w:r>
            <w:r>
              <w:rPr>
                <w:rFonts w:ascii="Times New Roman;serif" w:hAnsi="Times New Roman;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21.12</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17.04</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Efficiency ratio</w:t>
            </w:r>
            <w:r>
              <w:rPr>
                <w:rFonts w:ascii="Times New Roman;serif" w:hAnsi="Times New Roman;serif"/>
                <w:b w:val="false"/>
                <w:color w:val="000000"/>
                <w:sz w:val="1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54.19</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55.59</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Operating efficiency ratio</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44.43</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45.57</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Effective income tax rate for continuing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22.6</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Employees (period-end,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77.5</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77.5</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Quality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coverage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4.92</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4.92</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Net charge-off rate</w:t>
            </w:r>
            <w:r>
              <w:rPr>
                <w:rFonts w:ascii="Times New Roman;serif" w:hAnsi="Times New Roman;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2.73</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3.13</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performing delinquency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3.18</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3.18</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delinquency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3.41</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3.41</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Capital Ratios</w:t>
            </w:r>
            <w:r>
              <w:rPr>
                <w:rFonts w:ascii="Times New Roman;serif" w:hAnsi="Times New Roman;serif"/>
                <w:b/>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Common equity Tier 1 capital</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leverage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w:t>
            </w: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common equity (“TCE”)</w:t>
            </w:r>
            <w:r>
              <w:rPr>
                <w:rFonts w:ascii="Times New Roman;serif" w:hAnsi="Times New Roman;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w:t>
            </w: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color w:val="000000"/>
        </w:rPr>
      </w:pPr>
      <w:r>
        <w:rPr>
          <w:color w:val="000000"/>
        </w:rPr>
        <w:t>                                            </w:t>
      </w:r>
    </w:p>
    <w:p>
      <w:pPr>
        <w:pStyle w:val="TextBody"/>
        <w:bidi w:val="0"/>
        <w:spacing w:lineRule="auto" w:line="288" w:before="60" w:after="283"/>
        <w:jc w:val="left"/>
        <w:rPr>
          <w:color w:val="000000"/>
        </w:rPr>
      </w:pPr>
      <w:r>
        <w:rPr>
          <w:color w:val="000000"/>
        </w:rPr>
        <w:t>    </w:t>
      </w:r>
    </w:p>
    <w:p>
      <w:pPr>
        <w:pStyle w:val="TextBody"/>
        <w:bidi w:val="0"/>
        <w:spacing w:lineRule="auto" w:line="288" w:before="0" w:after="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3: Consolidated Statements of Income</w:t>
      </w:r>
    </w:p>
    <w:tbl>
      <w:tblPr>
        <w:tblW w:w="13236" w:type="dxa"/>
        <w:jc w:val="left"/>
        <w:tblInd w:w="0" w:type="dxa"/>
        <w:tblLayout w:type="fixed"/>
        <w:tblCellMar>
          <w:top w:w="28" w:type="dxa"/>
          <w:left w:w="28" w:type="dxa"/>
          <w:bottom w:w="28" w:type="dxa"/>
          <w:right w:w="28" w:type="dxa"/>
        </w:tblCellMar>
      </w:tblPr>
      <w:tblGrid>
        <w:gridCol w:w="840"/>
        <w:gridCol w:w="225"/>
        <w:gridCol w:w="226"/>
        <w:gridCol w:w="109"/>
        <w:gridCol w:w="109"/>
        <w:gridCol w:w="109"/>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55"/>
        <w:gridCol w:w="155"/>
        <w:gridCol w:w="156"/>
        <w:gridCol w:w="109"/>
        <w:gridCol w:w="109"/>
        <w:gridCol w:w="109"/>
        <w:gridCol w:w="155"/>
        <w:gridCol w:w="155"/>
        <w:gridCol w:w="156"/>
        <w:gridCol w:w="109"/>
        <w:gridCol w:w="109"/>
        <w:gridCol w:w="109"/>
        <w:gridCol w:w="196"/>
        <w:gridCol w:w="661"/>
        <w:gridCol w:w="109"/>
        <w:gridCol w:w="109"/>
        <w:gridCol w:w="109"/>
        <w:gridCol w:w="109"/>
        <w:gridCol w:w="196"/>
        <w:gridCol w:w="646"/>
        <w:gridCol w:w="109"/>
        <w:gridCol w:w="109"/>
        <w:gridCol w:w="109"/>
        <w:gridCol w:w="109"/>
        <w:gridCol w:w="155"/>
        <w:gridCol w:w="155"/>
        <w:gridCol w:w="156"/>
        <w:gridCol w:w="109"/>
        <w:gridCol w:w="109"/>
        <w:gridCol w:w="109"/>
        <w:gridCol w:w="109"/>
        <w:gridCol w:w="154"/>
      </w:tblGrid>
      <w:tr>
        <w:trPr/>
        <w:tc>
          <w:tcPr>
            <w:tcW w:w="84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including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49,515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and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37,405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after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27,432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and interchange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and other customer-related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securities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associate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 and 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26,363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Dividends and undistributed earnings allocated to participating securities</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Impacts from preferred stock redemptions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tbl>
      <w:tblPr>
        <w:tblW w:w="12231" w:type="dxa"/>
        <w:jc w:val="left"/>
        <w:tblInd w:w="0" w:type="dxa"/>
        <w:tblLayout w:type="fixed"/>
        <w:tblCellMar>
          <w:top w:w="28" w:type="dxa"/>
          <w:left w:w="28" w:type="dxa"/>
          <w:bottom w:w="28" w:type="dxa"/>
          <w:right w:w="28" w:type="dxa"/>
        </w:tblCellMar>
      </w:tblPr>
      <w:tblGrid>
        <w:gridCol w:w="986"/>
        <w:gridCol w:w="234"/>
        <w:gridCol w:w="236"/>
        <w:gridCol w:w="109"/>
        <w:gridCol w:w="109"/>
        <w:gridCol w:w="109"/>
        <w:gridCol w:w="196"/>
        <w:gridCol w:w="481"/>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55"/>
        <w:gridCol w:w="155"/>
        <w:gridCol w:w="156"/>
        <w:gridCol w:w="109"/>
        <w:gridCol w:w="109"/>
        <w:gridCol w:w="109"/>
        <w:gridCol w:w="155"/>
        <w:gridCol w:w="155"/>
        <w:gridCol w:w="156"/>
        <w:gridCol w:w="109"/>
        <w:gridCol w:w="109"/>
        <w:gridCol w:w="109"/>
        <w:gridCol w:w="196"/>
        <w:gridCol w:w="571"/>
        <w:gridCol w:w="109"/>
        <w:gridCol w:w="109"/>
        <w:gridCol w:w="109"/>
        <w:gridCol w:w="109"/>
        <w:gridCol w:w="196"/>
        <w:gridCol w:w="466"/>
        <w:gridCol w:w="109"/>
        <w:gridCol w:w="109"/>
        <w:gridCol w:w="109"/>
        <w:gridCol w:w="109"/>
        <w:gridCol w:w="155"/>
        <w:gridCol w:w="155"/>
        <w:gridCol w:w="156"/>
        <w:gridCol w:w="109"/>
        <w:gridCol w:w="109"/>
        <w:gridCol w:w="109"/>
        <w:gridCol w:w="109"/>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Basic earnings per common share:</w:t>
            </w:r>
            <w:r>
              <w:rPr>
                <w:rFonts w:ascii="Times New Roman;serif" w:hAnsi="Times New Roman;serif"/>
                <w:b/>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basic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Diluted earnings per common share:</w:t>
            </w:r>
            <w:r>
              <w:rPr>
                <w:rFonts w:ascii="Times New Roman;serif" w:hAnsi="Times New Roman;serif"/>
                <w:b/>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diluted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Weighted-average common shares outstanding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4: Consolidated Balance Sheets </w:t>
      </w:r>
    </w:p>
    <w:tbl>
      <w:tblPr>
        <w:tblW w:w="10205" w:type="dxa"/>
        <w:jc w:val="center"/>
        <w:tblInd w:w="0" w:type="dxa"/>
        <w:tblLayout w:type="fixed"/>
        <w:tblCellMar>
          <w:top w:w="28" w:type="dxa"/>
          <w:left w:w="28" w:type="dxa"/>
          <w:bottom w:w="28" w:type="dxa"/>
          <w:right w:w="28" w:type="dxa"/>
        </w:tblCellMar>
      </w:tblPr>
      <w:tblGrid>
        <w:gridCol w:w="763"/>
        <w:gridCol w:w="352"/>
        <w:gridCol w:w="294"/>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10"/>
        <w:gridCol w:w="211"/>
        <w:gridCol w:w="246"/>
        <w:gridCol w:w="109"/>
        <w:gridCol w:w="109"/>
        <w:gridCol w:w="109"/>
        <w:gridCol w:w="203"/>
        <w:gridCol w:w="203"/>
        <w:gridCol w:w="214"/>
      </w:tblGrid>
      <w:tr>
        <w:trPr/>
        <w:tc>
          <w:tcPr>
            <w:tcW w:w="76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 and other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48,889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for securitization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85,990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Investment securities held to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Unsecuritized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435,477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Loans held in consolidated trusts</w:t>
            </w:r>
            <w:r>
              <w:rPr>
                <w:rFonts w:ascii="Times New Roman;serif" w:hAnsi="Times New Roman;serif"/>
                <w:b w:val="false"/>
                <w:color w:val="000000"/>
                <w:sz w:val="1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462,530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439,791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31,880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Assets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672,867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947" w:type="dxa"/>
            <w:gridSpan w:val="6"/>
            <w:tcBorders/>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tbl>
      <w:tblPr>
        <w:tblW w:w="10449" w:type="dxa"/>
        <w:jc w:val="center"/>
        <w:tblInd w:w="0" w:type="dxa"/>
        <w:tblLayout w:type="fixed"/>
        <w:tblCellMar>
          <w:top w:w="28" w:type="dxa"/>
          <w:left w:w="28" w:type="dxa"/>
          <w:bottom w:w="28" w:type="dxa"/>
          <w:right w:w="28" w:type="dxa"/>
        </w:tblCellMar>
      </w:tblPr>
      <w:tblGrid>
        <w:gridCol w:w="727"/>
        <w:gridCol w:w="415"/>
        <w:gridCol w:w="419"/>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10"/>
        <w:gridCol w:w="211"/>
        <w:gridCol w:w="246"/>
        <w:gridCol w:w="109"/>
        <w:gridCol w:w="109"/>
        <w:gridCol w:w="109"/>
        <w:gridCol w:w="210"/>
        <w:gridCol w:w="211"/>
        <w:gridCol w:w="291"/>
      </w:tblGrid>
      <w:tr>
        <w:trPr/>
        <w:tc>
          <w:tcPr>
            <w:tcW w:w="72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453,006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480,697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11,280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 funds purchased and securities loaned or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and subordinated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36,347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38,494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31,958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563,211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64,397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72,213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109,656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672,867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r>
    </w:tbl>
    <w:p>
      <w:pPr>
        <w:pStyle w:val="TextBody"/>
        <w:bidi w:val="0"/>
        <w:spacing w:lineRule="auto" w:line="288" w:before="60" w:after="283"/>
        <w:jc w:val="center"/>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5: Notes to Financial Summary, Selected Metrics and Consolidated Financial Statements (Tables 1—4) </w:t>
      </w:r>
    </w:p>
    <w:p>
      <w:pPr>
        <w:pStyle w:val="TextBody"/>
        <w:bidi w:val="0"/>
        <w:spacing w:before="60" w:after="60"/>
        <w:jc w:val="both"/>
        <w:rPr/>
      </w:pPr>
      <w:r>
        <w:rPr/>
      </w:r>
    </w:p>
    <w:p>
      <w:pPr>
        <w:pStyle w:val="TextBody"/>
        <w:bidi w:val="0"/>
        <w:spacing w:lineRule="auto" w:line="288" w:before="60" w:after="6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Total net revenue was reduced by $784 million in Q3 2026, $898 million in Q2 2026, $980 million in Q1 2026, $941 million in Q4 2025 and $869 million in Q3 2025 for credit card finance charges and fees charged off as uncollectible.</w:t>
      </w:r>
    </w:p>
    <w:p>
      <w:pPr>
        <w:pStyle w:val="TextBody"/>
        <w:bidi w:val="0"/>
        <w:spacing w:lineRule="auto" w:line="288" w:before="0" w:after="6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Dividends and undistributed earnings allocated to participating securities and earnings per share are computed independently for each period. Accordingly, the sum of each quarterly amount may not agree to the year-to-date total. We also provide adjusted diluted earnings per share, which is a non-GAAP measure. See “Table 15: Calculation of Regulatory Capital Measures and Reconciliation of Non-GAAP Measures” for additional information on our non-GAAP measures.</w:t>
      </w:r>
    </w:p>
    <w:p>
      <w:pPr>
        <w:pStyle w:val="TextBody"/>
        <w:bidi w:val="0"/>
        <w:spacing w:lineRule="auto" w:line="288" w:before="0" w:after="60"/>
        <w:ind w:left="0" w:right="0" w:hanging="360"/>
        <w:jc w:val="both"/>
        <w:rPr/>
      </w:pPr>
      <w:r>
        <w:rPr>
          <w:rFonts w:ascii="Times New Roman;serif" w:hAnsi="Times New Roman;serif"/>
          <w:b w:val="false"/>
          <w:color w:val="000000"/>
          <w:sz w:val="10"/>
        </w:rPr>
        <w:t>(3)</w:t>
      </w:r>
      <w:r>
        <w:rPr>
          <w:rFonts w:ascii="Times New Roman;serif" w:hAnsi="Times New Roman;serif"/>
          <w:b w:val="false"/>
          <w:color w:val="000000"/>
          <w:sz w:val="16"/>
        </w:rPr>
        <w:t>Tangible book value per common share is a non-GAAP measure calculated based on TCE divided by common shares outstanding. See “Table 15: Calculation of Regulatory Capital Measures and Reconciliation of Non-GAAP Measures” for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(4)</w:t>
      </w:r>
      <w:r>
        <w:rPr>
          <w:rFonts w:ascii="Times New Roman;serif" w:hAnsi="Times New Roman;serif"/>
          <w:b w:val="false"/>
          <w:color w:val="000000"/>
          <w:sz w:val="16"/>
        </w:rPr>
        <w:t>Total net revenue margin is calculated based on annualized total net revenue for the period divided by average interest-earning assets for the period.</w:t>
      </w:r>
    </w:p>
    <w:p>
      <w:pPr>
        <w:pStyle w:val="TextBody"/>
        <w:bidi w:val="0"/>
        <w:spacing w:lineRule="auto" w:line="288" w:before="60" w:after="60"/>
        <w:ind w:left="0" w:right="0" w:hanging="360"/>
        <w:jc w:val="both"/>
        <w:rPr/>
      </w:pPr>
      <w:r>
        <w:rPr>
          <w:rFonts w:ascii="Times New Roman;serif" w:hAnsi="Times New Roman;serif"/>
          <w:b w:val="false"/>
          <w:color w:val="000000"/>
          <w:sz w:val="10"/>
        </w:rPr>
        <w:t>(5)</w:t>
      </w:r>
      <w:r>
        <w:rPr>
          <w:rFonts w:ascii="Times New Roman;serif" w:hAnsi="Times New Roman;serif"/>
          <w:b w:val="false"/>
          <w:color w:val="000000"/>
          <w:sz w:val="16"/>
        </w:rPr>
        <w:t>Net interest margin is calculated based on annualized net interest income for the period divided by average interest-earning assets for the period.</w:t>
      </w:r>
    </w:p>
    <w:p>
      <w:pPr>
        <w:pStyle w:val="TextBody"/>
        <w:bidi w:val="0"/>
        <w:spacing w:lineRule="auto" w:line="288" w:before="60" w:after="60"/>
        <w:ind w:left="0" w:right="0" w:hanging="360"/>
        <w:jc w:val="both"/>
        <w:rPr/>
      </w:pPr>
      <w:r>
        <w:rPr>
          <w:rFonts w:ascii="Times New Roman;serif" w:hAnsi="Times New Roman;serif"/>
          <w:b w:val="false"/>
          <w:color w:val="000000"/>
          <w:sz w:val="10"/>
        </w:rPr>
        <w:t>(6)</w:t>
      </w:r>
      <w:r>
        <w:rPr>
          <w:rFonts w:ascii="Times New Roman;serif" w:hAnsi="Times New Roman;serif"/>
          <w:b w:val="false"/>
          <w:color w:val="000000"/>
          <w:sz w:val="16"/>
        </w:rPr>
        <w:t xml:space="preserve">Return on average assets is calculated based on annualized net income (loss) less annualized income (loss) from discontinued operations, net of tax, for the period divided by average total assets for the period. </w:t>
      </w:r>
    </w:p>
    <w:p>
      <w:pPr>
        <w:pStyle w:val="TextBody"/>
        <w:bidi w:val="0"/>
        <w:spacing w:lineRule="auto" w:line="288" w:before="60" w:after="60"/>
        <w:ind w:left="0" w:right="0" w:hanging="360"/>
        <w:jc w:val="both"/>
        <w:rPr/>
      </w:pPr>
      <w:r>
        <w:rPr>
          <w:rFonts w:ascii="Times New Roman;serif" w:hAnsi="Times New Roman;serif"/>
          <w:b w:val="false"/>
          <w:color w:val="000000"/>
          <w:sz w:val="10"/>
        </w:rPr>
        <w:t>(7)</w:t>
      </w:r>
      <w:r>
        <w:rPr>
          <w:rFonts w:ascii="Times New Roman;serif" w:hAnsi="Times New Roman;serif"/>
          <w:b w:val="false"/>
          <w:color w:val="000000"/>
          <w:sz w:val="16"/>
        </w:rPr>
        <w:t>Return on average tangible assets is a non-GAAP measure calculated based on annualized net income (loss) less annualized income (loss) from discontinued operations, net of tax, for the period divided by average tangible assets for the period. See “Table 15: Calculation of Regulatory Capital Measures and Reconciliation of Non-GAAP Measures” for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(8)</w:t>
      </w:r>
      <w:r>
        <w:rPr>
          <w:rFonts w:ascii="Times New Roman;serif" w:hAnsi="Times New Roman;serif"/>
          <w:b w:val="false"/>
          <w:color w:val="000000"/>
          <w:sz w:val="16"/>
        </w:rPr>
        <w:t>Return on average common equity is calculated based on annualized net income (loss) available to common stockholders less annualized income (loss) from discontinued operations, net of tax, for the period, divided by average common equity. Our calculation of return on average common equity may not be comparable to similarly-titled measures reported by other companies.</w:t>
      </w:r>
    </w:p>
    <w:p>
      <w:pPr>
        <w:pStyle w:val="TextBody"/>
        <w:bidi w:val="0"/>
        <w:spacing w:lineRule="auto" w:line="288" w:before="60" w:after="60"/>
        <w:ind w:left="0" w:right="0" w:hanging="360"/>
        <w:jc w:val="both"/>
        <w:rPr/>
      </w:pPr>
      <w:r>
        <w:rPr>
          <w:rFonts w:ascii="Times New Roman;serif" w:hAnsi="Times New Roman;serif"/>
          <w:b w:val="false"/>
          <w:color w:val="000000"/>
          <w:sz w:val="10"/>
        </w:rPr>
        <w:t>(9)</w:t>
      </w:r>
      <w:r>
        <w:rPr>
          <w:rFonts w:ascii="Times New Roman;serif" w:hAnsi="Times New Roman;serif"/>
          <w:b w:val="false"/>
          <w:color w:val="000000"/>
          <w:sz w:val="16"/>
        </w:rPr>
        <w:t xml:space="preserve">Return on average tangible common equity is a non-GAAP measure calculated based on annualized net income (loss) available to common stockholders less annualized income (loss) from discontinued operations, net of tax, for the period, divided by average TCE. See “Table 15: Calculation of Regulatory Capital Measures and Reconciliation of Non-GAAP Measures” for additional information on non-GAAP measures. </w:t>
      </w:r>
    </w:p>
    <w:p>
      <w:pPr>
        <w:pStyle w:val="TextBody"/>
        <w:bidi w:val="0"/>
        <w:spacing w:lineRule="auto" w:line="288" w:before="60" w:after="60"/>
        <w:ind w:left="0" w:right="0" w:hanging="360"/>
        <w:jc w:val="both"/>
        <w:rPr/>
      </w:pPr>
      <w:r>
        <w:rPr>
          <w:rFonts w:ascii="Times New Roman;serif" w:hAnsi="Times New Roman;serif"/>
          <w:b w:val="false"/>
          <w:color w:val="000000"/>
          <w:sz w:val="10"/>
        </w:rPr>
        <w:t>(10)</w:t>
      </w:r>
      <w:r>
        <w:rPr>
          <w:rFonts w:ascii="Times New Roman;serif" w:hAnsi="Times New Roman;serif"/>
          <w:b w:val="false"/>
          <w:color w:val="000000"/>
          <w:sz w:val="16"/>
        </w:rPr>
        <w:t>Efficiency ratio is calculated based on total non-interest expense for the period divided by total net revenue for the period. We also provide an adjusted efficiency ratio, which is a non-GAAP measure. See “Table 15: Calculation of Regulatory Capital Measures and Reconciliation of Non-GAAP Measures” for additional information on our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(11)</w:t>
      </w:r>
      <w:r>
        <w:rPr>
          <w:rFonts w:ascii="Times New Roman;serif" w:hAnsi="Times New Roman;serif"/>
          <w:b w:val="false"/>
          <w:color w:val="000000"/>
          <w:sz w:val="16"/>
        </w:rPr>
        <w:t>Operating efficiency ratio is calculated based on operating expense for the period divided by total net revenue for the period. We also provide an adjusted operating efficiency ratio, which is a non-GAAP measure. See “Table 15: Calculation of Regulatory Capital Measures and Reconciliation of Non-GAAP Measures” for additional information on our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(12)</w:t>
      </w:r>
      <w:r>
        <w:rPr>
          <w:rFonts w:ascii="Times New Roman;serif" w:hAnsi="Times New Roman;serif"/>
          <w:b w:val="false"/>
          <w:color w:val="000000"/>
          <w:sz w:val="16"/>
        </w:rPr>
        <w:t>Net charge-off rate is calculated based on annualized net charge-offs for the period divided by average loans held for investment for the period.</w:t>
      </w:r>
    </w:p>
    <w:p>
      <w:pPr>
        <w:pStyle w:val="TextBody"/>
        <w:bidi w:val="0"/>
        <w:spacing w:lineRule="auto" w:line="288" w:before="60" w:after="60"/>
        <w:ind w:left="0" w:right="0" w:hanging="360"/>
        <w:jc w:val="both"/>
        <w:rPr/>
      </w:pPr>
      <w:r>
        <w:rPr>
          <w:rFonts w:ascii="Times New Roman;serif" w:hAnsi="Times New Roman;serif"/>
          <w:b w:val="false"/>
          <w:color w:val="000000"/>
          <w:sz w:val="10"/>
        </w:rPr>
        <w:t>(13)</w:t>
      </w:r>
      <w:r>
        <w:rPr>
          <w:rFonts w:ascii="Times New Roman;serif" w:hAnsi="Times New Roman;serif"/>
          <w:b w:val="false"/>
          <w:color w:val="000000"/>
          <w:sz w:val="16"/>
        </w:rPr>
        <w:t>Capital ratios as of the end of Q3 2026 are preliminary and therefore subject to change. See “Table 15: Calculation of Regulatory Capital Measures and Reconciliation of Non-GAAP Measures” for information on the calculation of each of these ratios.</w:t>
      </w:r>
    </w:p>
    <w:p>
      <w:pPr>
        <w:pStyle w:val="TextBody"/>
        <w:bidi w:val="0"/>
        <w:spacing w:lineRule="auto" w:line="288" w:before="60" w:after="60"/>
        <w:ind w:left="0" w:right="0" w:hanging="360"/>
        <w:jc w:val="both"/>
        <w:rPr/>
      </w:pPr>
      <w:r>
        <w:rPr>
          <w:rFonts w:ascii="Times New Roman;serif" w:hAnsi="Times New Roman;serif"/>
          <w:b w:val="false"/>
          <w:color w:val="000000"/>
          <w:sz w:val="10"/>
        </w:rPr>
        <w:t>(14)</w:t>
      </w:r>
      <w:r>
        <w:rPr>
          <w:rFonts w:ascii="Times New Roman;serif" w:hAnsi="Times New Roman;serif"/>
          <w:b w:val="false"/>
          <w:color w:val="000000"/>
          <w:sz w:val="16"/>
        </w:rPr>
        <w:t>TCE ratio is a non-GAAP measure calculated based on TCE divided by tangible assets. See “Table 15: Calculation of Regulatory Capital Measures and Reconciliation of Non-GAAP Measures” for additional information on non-GAAP measures.</w:t>
      </w:r>
    </w:p>
    <w:p>
      <w:pPr>
        <w:pStyle w:val="TextBody"/>
        <w:bidi w:val="0"/>
        <w:spacing w:lineRule="auto" w:line="288" w:before="60" w:after="60"/>
        <w:ind w:left="0" w:right="0" w:hanging="360"/>
        <w:jc w:val="both"/>
        <w:rPr/>
      </w:pPr>
      <w:r>
        <w:rPr>
          <w:rFonts w:ascii="Times New Roman;serif" w:hAnsi="Times New Roman;serif"/>
          <w:b w:val="false"/>
          <w:color w:val="000000"/>
          <w:sz w:val="10"/>
        </w:rPr>
        <w:t>(15)</w:t>
      </w:r>
      <w:r>
        <w:rPr>
          <w:rFonts w:ascii="Times New Roman;serif" w:hAnsi="Times New Roman;serif"/>
          <w:b w:val="false"/>
          <w:color w:val="000000"/>
          <w:sz w:val="16"/>
        </w:rPr>
        <w:t>On December 18, 2025, after giving effect to the Discover Card Execution Note Trust (“DCENT”) Defeasance Amendments, Funding, as Beneficiary on behalf of DCENT, defeased the outstanding DiscoverSeries Class A(2021-2) Notes, Class A(2023-1) Notes, and Class A(2023-2) Notes (collectively, the “Class A Notes”) issued by DCENT.</w:t>
      </w:r>
    </w:p>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6: Average Balances, Net Interest Income and Net Interest Margin </w:t>
      </w:r>
    </w:p>
    <w:tbl>
      <w:tblPr>
        <w:tblW w:w="12908" w:type="dxa"/>
        <w:jc w:val="left"/>
        <w:tblInd w:w="0" w:type="dxa"/>
        <w:tblLayout w:type="fixed"/>
        <w:tblCellMar>
          <w:top w:w="28" w:type="dxa"/>
          <w:left w:w="28" w:type="dxa"/>
          <w:bottom w:w="28" w:type="dxa"/>
          <w:right w:w="28" w:type="dxa"/>
        </w:tblCellMar>
      </w:tblPr>
      <w:tblGrid>
        <w:gridCol w:w="964"/>
        <w:gridCol w:w="341"/>
        <w:gridCol w:w="226"/>
        <w:gridCol w:w="109"/>
        <w:gridCol w:w="109"/>
        <w:gridCol w:w="109"/>
        <w:gridCol w:w="196"/>
        <w:gridCol w:w="751"/>
        <w:gridCol w:w="109"/>
        <w:gridCol w:w="109"/>
        <w:gridCol w:w="109"/>
        <w:gridCol w:w="109"/>
        <w:gridCol w:w="196"/>
        <w:gridCol w:w="661"/>
        <w:gridCol w:w="109"/>
        <w:gridCol w:w="109"/>
        <w:gridCol w:w="109"/>
        <w:gridCol w:w="109"/>
        <w:gridCol w:w="255"/>
        <w:gridCol w:w="256"/>
        <w:gridCol w:w="292"/>
        <w:gridCol w:w="109"/>
        <w:gridCol w:w="109"/>
        <w:gridCol w:w="109"/>
        <w:gridCol w:w="196"/>
        <w:gridCol w:w="736"/>
        <w:gridCol w:w="109"/>
        <w:gridCol w:w="109"/>
        <w:gridCol w:w="109"/>
        <w:gridCol w:w="109"/>
        <w:gridCol w:w="196"/>
        <w:gridCol w:w="646"/>
        <w:gridCol w:w="109"/>
        <w:gridCol w:w="109"/>
        <w:gridCol w:w="109"/>
        <w:gridCol w:w="109"/>
        <w:gridCol w:w="255"/>
        <w:gridCol w:w="256"/>
        <w:gridCol w:w="278"/>
        <w:gridCol w:w="109"/>
        <w:gridCol w:w="109"/>
        <w:gridCol w:w="109"/>
        <w:gridCol w:w="196"/>
        <w:gridCol w:w="736"/>
        <w:gridCol w:w="109"/>
        <w:gridCol w:w="109"/>
        <w:gridCol w:w="109"/>
        <w:gridCol w:w="109"/>
        <w:gridCol w:w="196"/>
        <w:gridCol w:w="646"/>
        <w:gridCol w:w="109"/>
        <w:gridCol w:w="109"/>
        <w:gridCol w:w="109"/>
        <w:gridCol w:w="109"/>
        <w:gridCol w:w="255"/>
        <w:gridCol w:w="256"/>
        <w:gridCol w:w="325"/>
      </w:tblGrid>
      <w:tr>
        <w:trPr/>
        <w:tc>
          <w:tcPr>
            <w:tcW w:w="96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Q3</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r>
      <w:tr>
        <w:trPr/>
        <w:tc>
          <w:tcPr>
            <w:tcW w:w="1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including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457,831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13.56</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99,842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w:t>
            </w: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equivalents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3.77</w:t>
            </w: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612,521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11.04</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454,245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2.94</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4.66</w:t>
            </w: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and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5.93</w:t>
            </w: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borrowings and liabilities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2.17</w:t>
            </w: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505,122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3.18</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7.86</w:t>
            </w:r>
            <w:r>
              <w:rPr>
                <w:color w:val="000000"/>
              </w:rPr>
              <w:t>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non-interest-bearing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0.55</w:t>
            </w: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8.41</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79"/>
        <w:gridCol w:w="480"/>
        <w:gridCol w:w="394"/>
        <w:gridCol w:w="109"/>
        <w:gridCol w:w="109"/>
        <w:gridCol w:w="109"/>
        <w:gridCol w:w="208"/>
        <w:gridCol w:w="799"/>
        <w:gridCol w:w="115"/>
        <w:gridCol w:w="109"/>
        <w:gridCol w:w="109"/>
        <w:gridCol w:w="109"/>
        <w:gridCol w:w="242"/>
        <w:gridCol w:w="819"/>
        <w:gridCol w:w="135"/>
        <w:gridCol w:w="109"/>
        <w:gridCol w:w="109"/>
        <w:gridCol w:w="109"/>
        <w:gridCol w:w="255"/>
        <w:gridCol w:w="256"/>
        <w:gridCol w:w="355"/>
        <w:gridCol w:w="109"/>
        <w:gridCol w:w="109"/>
        <w:gridCol w:w="109"/>
        <w:gridCol w:w="209"/>
        <w:gridCol w:w="787"/>
        <w:gridCol w:w="116"/>
        <w:gridCol w:w="109"/>
        <w:gridCol w:w="109"/>
        <w:gridCol w:w="109"/>
        <w:gridCol w:w="244"/>
        <w:gridCol w:w="805"/>
        <w:gridCol w:w="135"/>
        <w:gridCol w:w="109"/>
        <w:gridCol w:w="109"/>
        <w:gridCol w:w="109"/>
        <w:gridCol w:w="255"/>
        <w:gridCol w:w="256"/>
        <w:gridCol w:w="399"/>
      </w:tblGrid>
      <w:tr>
        <w:trPr/>
        <w:tc>
          <w:tcPr>
            <w:tcW w:w="9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8352" w:type="dxa"/>
            <w:gridSpan w:val="36"/>
            <w:tcBorders/>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Income/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Yield/Rate</w:t>
            </w:r>
            <w:r>
              <w:rPr>
                <w:rFonts w:ascii="Times New Roman;serif" w:hAnsi="Times New Roman;serif"/>
                <w:b/>
                <w:color w:val="000000"/>
                <w:sz w:val="10"/>
              </w:rPr>
              <w:t>(1)</w:t>
            </w:r>
          </w:p>
        </w:tc>
      </w:tr>
      <w:tr>
        <w:trPr/>
        <w:tc>
          <w:tcPr>
            <w:tcW w:w="1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including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451,851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45,161</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13.33</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380,992 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99,002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2,549</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3.43</w:t>
            </w: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equivalents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64,888</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1,805</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3.71</w:t>
            </w: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615,741</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49,515</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10.72</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527,461 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454,785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10,059</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2.95</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388,541 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Securitized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11,189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385</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4.59</w:t>
            </w: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and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36,974</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1,595</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5.75</w:t>
            </w: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borrowings and liabilities</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4,145</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w:t>
            </w: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507,093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12,110</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3.18</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437,720 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37,405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7.54</w:t>
            </w: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non-interest-bearing 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0.56</w:t>
            </w: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8.10</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pPr>
      <w:r>
        <w:rPr>
          <w:rFonts w:ascii="Times New Roman;serif" w:hAnsi="Times New Roman;serif"/>
          <w:b/>
          <w:color w:val="000000"/>
          <w:sz w:val="20"/>
        </w:rPr>
        <w:t xml:space="preserve">Table 7: Loan Information and Performance Statistics </w:t>
      </w:r>
      <w:r>
        <w:rPr>
          <w:rFonts w:ascii="Times New Roman;serif" w:hAnsi="Times New Roman;serif"/>
          <w:b/>
          <w:color w:val="000000"/>
          <w:sz w:val="13"/>
        </w:rPr>
        <w:t>(3)</w:t>
      </w:r>
    </w:p>
    <w:tbl>
      <w:tblPr>
        <w:tblW w:w="13402" w:type="dxa"/>
        <w:jc w:val="left"/>
        <w:tblInd w:w="0" w:type="dxa"/>
        <w:tblLayout w:type="fixed"/>
        <w:tblCellMar>
          <w:top w:w="28" w:type="dxa"/>
          <w:left w:w="28" w:type="dxa"/>
          <w:bottom w:w="28" w:type="dxa"/>
          <w:right w:w="28" w:type="dxa"/>
        </w:tblCellMar>
      </w:tblPr>
      <w:tblGrid>
        <w:gridCol w:w="735"/>
        <w:gridCol w:w="225"/>
        <w:gridCol w:w="22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3"/>
        <w:gridCol w:w="203"/>
        <w:gridCol w:w="246"/>
        <w:gridCol w:w="109"/>
        <w:gridCol w:w="109"/>
        <w:gridCol w:w="109"/>
        <w:gridCol w:w="155"/>
        <w:gridCol w:w="155"/>
        <w:gridCol w:w="156"/>
        <w:gridCol w:w="109"/>
        <w:gridCol w:w="109"/>
        <w:gridCol w:w="109"/>
        <w:gridCol w:w="196"/>
        <w:gridCol w:w="751"/>
        <w:gridCol w:w="109"/>
        <w:gridCol w:w="109"/>
        <w:gridCol w:w="109"/>
        <w:gridCol w:w="109"/>
        <w:gridCol w:w="196"/>
        <w:gridCol w:w="736"/>
        <w:gridCol w:w="109"/>
        <w:gridCol w:w="109"/>
        <w:gridCol w:w="109"/>
        <w:gridCol w:w="109"/>
        <w:gridCol w:w="149"/>
        <w:gridCol w:w="149"/>
        <w:gridCol w:w="213"/>
      </w:tblGrid>
      <w:tr>
        <w:trPr/>
        <w:tc>
          <w:tcPr>
            <w:tcW w:w="7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Nine Months Ended September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Held for Investment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Domestic 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260,252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42424"/>
                <w:sz w:val="16"/>
              </w:rPr>
            </w:pPr>
            <w:r>
              <w:rPr>
                <w:rFonts w:ascii="Times New Roman;serif" w:hAnsi="Times New Roman;serif"/>
                <w:b/>
                <w:color w:val="242424"/>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260,252</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253,951 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(17)</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International card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8,124</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9</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276,360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276,360</w:t>
            </w:r>
            <w:r>
              <w:rPr>
                <w:color w:val="24242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271,037 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Auto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92,901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92,901</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82,035 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13</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Retail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1,142</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94,043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94,043</w:t>
            </w:r>
            <w:r>
              <w:rPr>
                <w:color w:val="24242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83,230 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13</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multifamily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35,636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35,636</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56,491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56,491</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92,127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92,127</w:t>
            </w:r>
            <w:r>
              <w:rPr>
                <w:color w:val="242424"/>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88,892 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462,530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42424"/>
                <w:sz w:val="16"/>
              </w:rPr>
            </w:pPr>
            <w:r>
              <w:rPr>
                <w:rFonts w:ascii="Times New Roman;serif" w:hAnsi="Times New Roman;serif"/>
                <w:b/>
                <w:color w:val="242424"/>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462,530</w:t>
            </w:r>
            <w:r>
              <w:rPr>
                <w:color w:val="24242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443,159 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Loans Held for Investment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Domestic 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257,311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42424"/>
                <w:sz w:val="16"/>
              </w:rPr>
            </w:pPr>
            <w:r>
              <w:rPr>
                <w:rFonts w:ascii="Times New Roman;serif" w:hAnsi="Times New Roman;serif"/>
                <w:b/>
                <w:color w:val="242424"/>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255,336</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200,221 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81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International card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7,795</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10</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273,670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271,957</w:t>
            </w:r>
            <w:r>
              <w:rPr>
                <w:color w:val="24242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212,172 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28</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Auto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87,731</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11</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Retail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1,165</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92,330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88,896</w:t>
            </w:r>
            <w:r>
              <w:rPr>
                <w:color w:val="24242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80,304 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multifamily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34,354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33,960</w:t>
            </w:r>
            <w:r>
              <w:rPr>
                <w:color w:val="24242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57,026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56,659</w:t>
            </w:r>
            <w:r>
              <w:rPr>
                <w:color w:val="24242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55,630 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91,380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90,619</w:t>
            </w:r>
            <w:r>
              <w:rPr>
                <w:color w:val="242424"/>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88,088 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average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457,380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242424"/>
                <w:sz w:val="16"/>
              </w:rPr>
            </w:pPr>
            <w:r>
              <w:rPr>
                <w:rFonts w:ascii="Times New Roman;serif" w:hAnsi="Times New Roman;serif"/>
                <w:b/>
                <w:color w:val="242424"/>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451,472</w:t>
            </w:r>
            <w:r>
              <w:rPr>
                <w:color w:val="242424"/>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380,564 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tbl>
      <w:tblPr>
        <w:tblW w:w="11666" w:type="dxa"/>
        <w:jc w:val="left"/>
        <w:tblInd w:w="0" w:type="dxa"/>
        <w:tblLayout w:type="fixed"/>
        <w:tblCellMar>
          <w:top w:w="28" w:type="dxa"/>
          <w:left w:w="28" w:type="dxa"/>
          <w:bottom w:w="28" w:type="dxa"/>
          <w:right w:w="28" w:type="dxa"/>
        </w:tblCellMar>
      </w:tblPr>
      <w:tblGrid>
        <w:gridCol w:w="563"/>
        <w:gridCol w:w="311"/>
        <w:gridCol w:w="312"/>
        <w:gridCol w:w="109"/>
        <w:gridCol w:w="109"/>
        <w:gridCol w:w="109"/>
        <w:gridCol w:w="239"/>
        <w:gridCol w:w="242"/>
        <w:gridCol w:w="271"/>
        <w:gridCol w:w="109"/>
        <w:gridCol w:w="109"/>
        <w:gridCol w:w="109"/>
        <w:gridCol w:w="232"/>
        <w:gridCol w:w="234"/>
        <w:gridCol w:w="246"/>
        <w:gridCol w:w="109"/>
        <w:gridCol w:w="109"/>
        <w:gridCol w:w="109"/>
        <w:gridCol w:w="232"/>
        <w:gridCol w:w="234"/>
        <w:gridCol w:w="246"/>
        <w:gridCol w:w="109"/>
        <w:gridCol w:w="109"/>
        <w:gridCol w:w="109"/>
        <w:gridCol w:w="232"/>
        <w:gridCol w:w="234"/>
        <w:gridCol w:w="246"/>
        <w:gridCol w:w="109"/>
        <w:gridCol w:w="109"/>
        <w:gridCol w:w="109"/>
        <w:gridCol w:w="239"/>
        <w:gridCol w:w="242"/>
        <w:gridCol w:w="246"/>
        <w:gridCol w:w="109"/>
        <w:gridCol w:w="109"/>
        <w:gridCol w:w="109"/>
        <w:gridCol w:w="173"/>
        <w:gridCol w:w="173"/>
        <w:gridCol w:w="346"/>
        <w:gridCol w:w="109"/>
        <w:gridCol w:w="109"/>
        <w:gridCol w:w="109"/>
        <w:gridCol w:w="173"/>
        <w:gridCol w:w="173"/>
        <w:gridCol w:w="346"/>
        <w:gridCol w:w="109"/>
        <w:gridCol w:w="109"/>
        <w:gridCol w:w="109"/>
        <w:gridCol w:w="239"/>
        <w:gridCol w:w="242"/>
        <w:gridCol w:w="271"/>
        <w:gridCol w:w="109"/>
        <w:gridCol w:w="109"/>
        <w:gridCol w:w="109"/>
        <w:gridCol w:w="247"/>
        <w:gridCol w:w="234"/>
        <w:gridCol w:w="241"/>
        <w:gridCol w:w="109"/>
        <w:gridCol w:w="109"/>
        <w:gridCol w:w="109"/>
        <w:gridCol w:w="173"/>
        <w:gridCol w:w="173"/>
        <w:gridCol w:w="391"/>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Nine Months Ended September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Charge-Off (Recovery)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Domestic 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5.21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International card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5.38</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4.59</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Auto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1.55</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Retail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5.50</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93 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1.60</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multifamily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0.02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0.05</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0.41</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6 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0.27</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3.13</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30+ Day Performing Delinquency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Domestic 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3.89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(15)</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bps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10</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International card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Auto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Retail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tbl>
      <w:tblPr>
        <w:tblW w:w="11936"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239"/>
        <w:gridCol w:w="242"/>
        <w:gridCol w:w="271"/>
        <w:gridCol w:w="109"/>
        <w:gridCol w:w="109"/>
        <w:gridCol w:w="109"/>
        <w:gridCol w:w="232"/>
        <w:gridCol w:w="234"/>
        <w:gridCol w:w="246"/>
        <w:gridCol w:w="109"/>
        <w:gridCol w:w="109"/>
        <w:gridCol w:w="109"/>
        <w:gridCol w:w="232"/>
        <w:gridCol w:w="234"/>
        <w:gridCol w:w="246"/>
        <w:gridCol w:w="109"/>
        <w:gridCol w:w="109"/>
        <w:gridCol w:w="109"/>
        <w:gridCol w:w="232"/>
        <w:gridCol w:w="234"/>
        <w:gridCol w:w="246"/>
        <w:gridCol w:w="109"/>
        <w:gridCol w:w="109"/>
        <w:gridCol w:w="109"/>
        <w:gridCol w:w="232"/>
        <w:gridCol w:w="234"/>
        <w:gridCol w:w="246"/>
        <w:gridCol w:w="109"/>
        <w:gridCol w:w="109"/>
        <w:gridCol w:w="109"/>
        <w:gridCol w:w="202"/>
        <w:gridCol w:w="204"/>
        <w:gridCol w:w="406"/>
        <w:gridCol w:w="109"/>
        <w:gridCol w:w="109"/>
        <w:gridCol w:w="109"/>
        <w:gridCol w:w="203"/>
        <w:gridCol w:w="203"/>
        <w:gridCol w:w="346"/>
        <w:gridCol w:w="109"/>
        <w:gridCol w:w="109"/>
        <w:gridCol w:w="109"/>
        <w:gridCol w:w="239"/>
        <w:gridCol w:w="242"/>
        <w:gridCol w:w="271"/>
        <w:gridCol w:w="109"/>
        <w:gridCol w:w="109"/>
        <w:gridCol w:w="109"/>
        <w:gridCol w:w="240"/>
        <w:gridCol w:w="226"/>
        <w:gridCol w:w="241"/>
        <w:gridCol w:w="109"/>
        <w:gridCol w:w="109"/>
        <w:gridCol w:w="109"/>
        <w:gridCol w:w="203"/>
        <w:gridCol w:w="203"/>
        <w:gridCol w:w="391"/>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Nine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2026</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242424"/>
                <w:sz w:val="16"/>
              </w:rPr>
            </w:pPr>
            <w:r>
              <w:rPr>
                <w:rFonts w:ascii="Times New Roman;serif" w:hAnsi="Times New Roman;serif"/>
                <w:b/>
                <w:color w:val="242424"/>
                <w:sz w:val="16"/>
              </w:rPr>
              <w:t>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2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0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Nonperforming Loans and Nonperforming Assets Rates</w:t>
            </w:r>
            <w:r>
              <w:rPr>
                <w:rFonts w:ascii="Times New Roman;serif" w:hAnsi="Times New Roman;serif"/>
                <w:b/>
                <w:color w:val="000000"/>
                <w:sz w:val="1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Personal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42424"/>
                <w:sz w:val="16"/>
              </w:rPr>
            </w:pPr>
            <w:r>
              <w:rPr>
                <w:rFonts w:ascii="Times New Roman;serif" w:hAnsi="Times New Roman;serif"/>
                <w:b w:val="false"/>
                <w:color w:val="242424"/>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International card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bps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0.01</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42424"/>
              </w:rPr>
            </w:pPr>
            <w:r>
              <w:rPr>
                <w:color w:val="242424"/>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Auto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0.65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0.65</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(6)</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Retail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1.51</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0.66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0.66</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multifamily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1.24</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1.22</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1.22</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(17)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0.38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0.38</w:t>
            </w:r>
            <w:r>
              <w:rPr>
                <w:color w:val="242424"/>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nonperforming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0.42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242424"/>
                <w:sz w:val="16"/>
              </w:rPr>
              <w:t>0.42</w:t>
            </w:r>
            <w:r>
              <w:rPr>
                <w:color w:val="242424"/>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0.44 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242424"/>
                <w:sz w:val="16"/>
              </w:rPr>
            </w:pPr>
            <w:r>
              <w:rPr>
                <w:rFonts w:ascii="Times New Roman;serif" w:hAnsi="Times New Roman;serif"/>
                <w:b w:val="false"/>
                <w:color w:val="242424"/>
                <w:sz w:val="16"/>
              </w:rPr>
              <w:t>(2)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8: Allowance for Credit Losses and Reserve for Unfunded Lending Commitments Activity</w:t>
      </w:r>
    </w:p>
    <w:tbl>
      <w:tblPr>
        <w:tblW w:w="12659" w:type="dxa"/>
        <w:jc w:val="left"/>
        <w:tblInd w:w="0" w:type="dxa"/>
        <w:tblLayout w:type="fixed"/>
        <w:tblCellMar>
          <w:top w:w="28" w:type="dxa"/>
          <w:left w:w="28" w:type="dxa"/>
          <w:bottom w:w="28" w:type="dxa"/>
          <w:right w:w="28" w:type="dxa"/>
        </w:tblCellMar>
      </w:tblPr>
      <w:tblGrid>
        <w:gridCol w:w="525"/>
        <w:gridCol w:w="277"/>
        <w:gridCol w:w="279"/>
        <w:gridCol w:w="109"/>
        <w:gridCol w:w="109"/>
        <w:gridCol w:w="109"/>
        <w:gridCol w:w="196"/>
        <w:gridCol w:w="661"/>
        <w:gridCol w:w="109"/>
        <w:gridCol w:w="109"/>
        <w:gridCol w:w="109"/>
        <w:gridCol w:w="109"/>
        <w:gridCol w:w="196"/>
        <w:gridCol w:w="436"/>
        <w:gridCol w:w="109"/>
        <w:gridCol w:w="109"/>
        <w:gridCol w:w="109"/>
        <w:gridCol w:w="109"/>
        <w:gridCol w:w="281"/>
        <w:gridCol w:w="627"/>
        <w:gridCol w:w="158"/>
        <w:gridCol w:w="109"/>
        <w:gridCol w:w="109"/>
        <w:gridCol w:w="109"/>
        <w:gridCol w:w="196"/>
        <w:gridCol w:w="661"/>
        <w:gridCol w:w="109"/>
        <w:gridCol w:w="109"/>
        <w:gridCol w:w="109"/>
        <w:gridCol w:w="109"/>
        <w:gridCol w:w="196"/>
        <w:gridCol w:w="571"/>
        <w:gridCol w:w="109"/>
        <w:gridCol w:w="109"/>
        <w:gridCol w:w="109"/>
        <w:gridCol w:w="109"/>
        <w:gridCol w:w="109"/>
        <w:gridCol w:w="109"/>
        <w:gridCol w:w="212"/>
        <w:gridCol w:w="375"/>
        <w:gridCol w:w="119"/>
        <w:gridCol w:w="109"/>
        <w:gridCol w:w="109"/>
        <w:gridCol w:w="109"/>
        <w:gridCol w:w="196"/>
        <w:gridCol w:w="571"/>
        <w:gridCol w:w="109"/>
        <w:gridCol w:w="109"/>
        <w:gridCol w:w="109"/>
        <w:gridCol w:w="109"/>
        <w:gridCol w:w="221"/>
        <w:gridCol w:w="645"/>
        <w:gridCol w:w="125"/>
        <w:gridCol w:w="109"/>
        <w:gridCol w:w="109"/>
        <w:gridCol w:w="109"/>
        <w:gridCol w:w="109"/>
        <w:gridCol w:w="109"/>
        <w:gridCol w:w="196"/>
        <w:gridCol w:w="661"/>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1578" w:type="dxa"/>
            <w:gridSpan w:val="58"/>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5" w:type="dxa"/>
            <w:gridSpan w:val="4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1556" w:type="dxa"/>
            <w:gridSpan w:val="8"/>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Domestic Card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Personal Loans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Card Businesses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Credit Card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 Banking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(3,121)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2,896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build (release)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changes</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22,739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Reserve for unfunded lending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on unfunded lending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Combined allowance and reserve as of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610</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19,061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1,637</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22,901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659" w:type="dxa"/>
        <w:jc w:val="left"/>
        <w:tblInd w:w="0" w:type="dxa"/>
        <w:tblLayout w:type="fixed"/>
        <w:tblCellMar>
          <w:top w:w="28" w:type="dxa"/>
          <w:left w:w="28" w:type="dxa"/>
          <w:bottom w:w="28" w:type="dxa"/>
          <w:right w:w="28" w:type="dxa"/>
        </w:tblCellMar>
      </w:tblPr>
      <w:tblGrid>
        <w:gridCol w:w="525"/>
        <w:gridCol w:w="277"/>
        <w:gridCol w:w="279"/>
        <w:gridCol w:w="109"/>
        <w:gridCol w:w="109"/>
        <w:gridCol w:w="109"/>
        <w:gridCol w:w="196"/>
        <w:gridCol w:w="661"/>
        <w:gridCol w:w="109"/>
        <w:gridCol w:w="109"/>
        <w:gridCol w:w="109"/>
        <w:gridCol w:w="109"/>
        <w:gridCol w:w="196"/>
        <w:gridCol w:w="436"/>
        <w:gridCol w:w="109"/>
        <w:gridCol w:w="109"/>
        <w:gridCol w:w="109"/>
        <w:gridCol w:w="109"/>
        <w:gridCol w:w="281"/>
        <w:gridCol w:w="627"/>
        <w:gridCol w:w="158"/>
        <w:gridCol w:w="109"/>
        <w:gridCol w:w="109"/>
        <w:gridCol w:w="109"/>
        <w:gridCol w:w="196"/>
        <w:gridCol w:w="661"/>
        <w:gridCol w:w="109"/>
        <w:gridCol w:w="109"/>
        <w:gridCol w:w="109"/>
        <w:gridCol w:w="109"/>
        <w:gridCol w:w="196"/>
        <w:gridCol w:w="571"/>
        <w:gridCol w:w="109"/>
        <w:gridCol w:w="109"/>
        <w:gridCol w:w="109"/>
        <w:gridCol w:w="109"/>
        <w:gridCol w:w="109"/>
        <w:gridCol w:w="109"/>
        <w:gridCol w:w="212"/>
        <w:gridCol w:w="375"/>
        <w:gridCol w:w="119"/>
        <w:gridCol w:w="109"/>
        <w:gridCol w:w="109"/>
        <w:gridCol w:w="109"/>
        <w:gridCol w:w="196"/>
        <w:gridCol w:w="571"/>
        <w:gridCol w:w="109"/>
        <w:gridCol w:w="109"/>
        <w:gridCol w:w="109"/>
        <w:gridCol w:w="109"/>
        <w:gridCol w:w="221"/>
        <w:gridCol w:w="645"/>
        <w:gridCol w:w="125"/>
        <w:gridCol w:w="109"/>
        <w:gridCol w:w="109"/>
        <w:gridCol w:w="109"/>
        <w:gridCol w:w="109"/>
        <w:gridCol w:w="109"/>
        <w:gridCol w:w="196"/>
        <w:gridCol w:w="661"/>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3" w:type="dxa"/>
            <w:gridSpan w:val="5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8"/>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5" w:type="dxa"/>
            <w:gridSpan w:val="4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1556" w:type="dxa"/>
            <w:gridSpan w:val="8"/>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4"/>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Domestic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Personal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Card Businesses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Credit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Consumer 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4,916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(10,610)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9,953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build (release)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changes</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19,061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1,475</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22,739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Reserve for unfunded lending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losses on unfunded lending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Combined allowance and reserve as of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610</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19,061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1,637</w:t>
            </w: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22,901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pPr>
      <w:r>
        <w:rPr>
          <w:rFonts w:ascii="Times New Roman;serif" w:hAnsi="Times New Roman;serif"/>
          <w:b/>
          <w:color w:val="000000"/>
          <w:sz w:val="20"/>
        </w:rPr>
        <w:t>Table 9: Financial Summary—Business Segment Results</w:t>
      </w:r>
      <w:r>
        <w:rPr>
          <w:rFonts w:ascii="Times New Roman;serif" w:hAnsi="Times New Roman;serif"/>
          <w:b/>
          <w:color w:val="000000"/>
          <w:sz w:val="13"/>
        </w:rPr>
        <w:t>(3)</w:t>
      </w:r>
      <w:r>
        <w:rPr>
          <w:color w:val="000000"/>
        </w:rPr>
        <w:t xml:space="preserve"> </w:t>
      </w:r>
    </w:p>
    <w:p>
      <w:pPr>
        <w:pStyle w:val="TextBody"/>
        <w:bidi w:val="0"/>
        <w:spacing w:before="0" w:after="0"/>
        <w:jc w:val="left"/>
        <w:rPr/>
      </w:pPr>
      <w:r>
        <w:rPr/>
      </w:r>
    </w:p>
    <w:tbl>
      <w:tblPr>
        <w:tblW w:w="13281" w:type="dxa"/>
        <w:jc w:val="left"/>
        <w:tblInd w:w="0" w:type="dxa"/>
        <w:tblLayout w:type="fixed"/>
        <w:tblCellMar>
          <w:top w:w="28" w:type="dxa"/>
          <w:left w:w="28" w:type="dxa"/>
          <w:bottom w:w="28" w:type="dxa"/>
          <w:right w:w="28" w:type="dxa"/>
        </w:tblCellMar>
      </w:tblPr>
      <w:tblGrid>
        <w:gridCol w:w="535"/>
        <w:gridCol w:w="220"/>
        <w:gridCol w:w="221"/>
        <w:gridCol w:w="109"/>
        <w:gridCol w:w="109"/>
        <w:gridCol w:w="109"/>
        <w:gridCol w:w="196"/>
        <w:gridCol w:w="571"/>
        <w:gridCol w:w="109"/>
        <w:gridCol w:w="109"/>
        <w:gridCol w:w="109"/>
        <w:gridCol w:w="109"/>
        <w:gridCol w:w="196"/>
        <w:gridCol w:w="571"/>
        <w:gridCol w:w="109"/>
        <w:gridCol w:w="109"/>
        <w:gridCol w:w="109"/>
        <w:gridCol w:w="109"/>
        <w:gridCol w:w="262"/>
        <w:gridCol w:w="583"/>
        <w:gridCol w:w="146"/>
        <w:gridCol w:w="109"/>
        <w:gridCol w:w="109"/>
        <w:gridCol w:w="109"/>
        <w:gridCol w:w="196"/>
        <w:gridCol w:w="436"/>
        <w:gridCol w:w="109"/>
        <w:gridCol w:w="109"/>
        <w:gridCol w:w="109"/>
        <w:gridCol w:w="109"/>
        <w:gridCol w:w="196"/>
        <w:gridCol w:w="661"/>
        <w:gridCol w:w="109"/>
        <w:gridCol w:w="109"/>
        <w:gridCol w:w="109"/>
        <w:gridCol w:w="109"/>
        <w:gridCol w:w="196"/>
        <w:gridCol w:w="661"/>
        <w:gridCol w:w="109"/>
        <w:gridCol w:w="109"/>
        <w:gridCol w:w="109"/>
        <w:gridCol w:w="109"/>
        <w:gridCol w:w="196"/>
        <w:gridCol w:w="571"/>
        <w:gridCol w:w="109"/>
        <w:gridCol w:w="109"/>
        <w:gridCol w:w="109"/>
        <w:gridCol w:w="109"/>
        <w:gridCol w:w="221"/>
        <w:gridCol w:w="645"/>
        <w:gridCol w:w="125"/>
        <w:gridCol w:w="109"/>
        <w:gridCol w:w="109"/>
        <w:gridCol w:w="109"/>
        <w:gridCol w:w="196"/>
        <w:gridCol w:w="436"/>
        <w:gridCol w:w="109"/>
        <w:gridCol w:w="109"/>
        <w:gridCol w:w="109"/>
        <w:gridCol w:w="109"/>
        <w:gridCol w:w="196"/>
        <w:gridCol w:w="661"/>
        <w:gridCol w:w="154"/>
      </w:tblGrid>
      <w:tr>
        <w:trPr/>
        <w:tc>
          <w:tcPr>
            <w:tcW w:w="5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Commercial Banking</w:t>
            </w:r>
            <w:r>
              <w:rPr>
                <w:rFonts w:ascii="Times New Roman;serif" w:hAnsi="Times New Roman;serif"/>
                <w:b/>
                <w:color w:val="000000"/>
                <w:sz w:val="1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Commercial Banking</w:t>
            </w:r>
            <w:r>
              <w:rPr>
                <w:rFonts w:ascii="Times New Roman;serif" w:hAnsi="Times New Roman;serif"/>
                <w:b/>
                <w:color w:val="000000"/>
                <w:sz w:val="1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603</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1,769</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37,405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Non-interest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298</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891</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901</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2,660</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47,425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229</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9,973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1,427</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26,363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414</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1,004</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11,089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246</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758</w:t>
            </w: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8,740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Commercial Banking</w:t>
            </w:r>
            <w:r>
              <w:rPr>
                <w:rFonts w:ascii="Times New Roman;serif" w:hAnsi="Times New Roman;serif"/>
                <w:b/>
                <w:color w:val="000000"/>
                <w:sz w:val="1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Commercial Banking</w:t>
            </w:r>
            <w:r>
              <w:rPr>
                <w:rFonts w:ascii="Times New Roman;serif" w:hAnsi="Times New Roman;serif"/>
                <w:b/>
                <w:color w:val="000000"/>
                <w:sz w:val="1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Commercial Banking</w:t>
            </w:r>
            <w:r>
              <w:rPr>
                <w:rFonts w:ascii="Times New Roman;serif" w:hAnsi="Times New Roman;serif"/>
                <w:b/>
                <w:color w:val="000000"/>
                <w:sz w:val="1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pPr>
      <w:r>
        <w:rPr>
          <w:rFonts w:ascii="Times New Roman;serif" w:hAnsi="Times New Roman;serif"/>
          <w:b/>
          <w:color w:val="000000"/>
          <w:sz w:val="20"/>
        </w:rPr>
        <w:t>Table 10: Financial &amp; Statistical Summary—Credit Card Business</w:t>
      </w:r>
      <w:r>
        <w:rPr>
          <w:rFonts w:ascii="Times New Roman;serif" w:hAnsi="Times New Roman;serif"/>
          <w:b/>
          <w:color w:val="000000"/>
          <w:sz w:val="13"/>
        </w:rPr>
        <w:t>(3)</w:t>
      </w:r>
      <w:r>
        <w:rPr>
          <w:color w:val="000000"/>
        </w:rPr>
        <w:t xml:space="preserve"> </w:t>
      </w:r>
    </w:p>
    <w:tbl>
      <w:tblPr>
        <w:tblW w:w="14278" w:type="dxa"/>
        <w:jc w:val="left"/>
        <w:tblInd w:w="0" w:type="dxa"/>
        <w:tblLayout w:type="fixed"/>
        <w:tblCellMar>
          <w:top w:w="28" w:type="dxa"/>
          <w:left w:w="28" w:type="dxa"/>
          <w:bottom w:w="28" w:type="dxa"/>
          <w:right w:w="28" w:type="dxa"/>
        </w:tblCellMar>
      </w:tblPr>
      <w:tblGrid>
        <w:gridCol w:w="765"/>
        <w:gridCol w:w="225"/>
        <w:gridCol w:w="226"/>
        <w:gridCol w:w="109"/>
        <w:gridCol w:w="109"/>
        <w:gridCol w:w="109"/>
        <w:gridCol w:w="196"/>
        <w:gridCol w:w="751"/>
        <w:gridCol w:w="27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200"/>
        <w:gridCol w:w="206"/>
        <w:gridCol w:w="346"/>
        <w:gridCol w:w="109"/>
        <w:gridCol w:w="109"/>
        <w:gridCol w:w="109"/>
        <w:gridCol w:w="203"/>
        <w:gridCol w:w="203"/>
        <w:gridCol w:w="346"/>
        <w:gridCol w:w="109"/>
        <w:gridCol w:w="109"/>
        <w:gridCol w:w="109"/>
        <w:gridCol w:w="196"/>
        <w:gridCol w:w="751"/>
        <w:gridCol w:w="271"/>
        <w:gridCol w:w="109"/>
        <w:gridCol w:w="109"/>
        <w:gridCol w:w="109"/>
        <w:gridCol w:w="196"/>
        <w:gridCol w:w="646"/>
        <w:gridCol w:w="241"/>
        <w:gridCol w:w="109"/>
        <w:gridCol w:w="109"/>
        <w:gridCol w:w="109"/>
        <w:gridCol w:w="201"/>
        <w:gridCol w:w="205"/>
        <w:gridCol w:w="391"/>
      </w:tblGrid>
      <w:tr>
        <w:trPr/>
        <w:tc>
          <w:tcPr>
            <w:tcW w:w="7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Credit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9,622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28,110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2,525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7,191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12,147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35,301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8,364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Non-interest expense</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5,880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17,479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3,788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9,458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2,859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7,139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276,360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276,360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273,670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271,957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yield on loans outstanding</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17.70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 margin</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performing delinquency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delinquency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Nonperforming loan rate</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Purchase volume</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254,679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728,969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tbl>
      <w:tblPr>
        <w:tblW w:w="14113" w:type="dxa"/>
        <w:jc w:val="left"/>
        <w:tblInd w:w="0" w:type="dxa"/>
        <w:tblLayout w:type="fixed"/>
        <w:tblCellMar>
          <w:top w:w="28" w:type="dxa"/>
          <w:left w:w="28" w:type="dxa"/>
          <w:bottom w:w="28" w:type="dxa"/>
          <w:right w:w="28" w:type="dxa"/>
        </w:tblCellMar>
      </w:tblPr>
      <w:tblGrid>
        <w:gridCol w:w="600"/>
        <w:gridCol w:w="225"/>
        <w:gridCol w:w="226"/>
        <w:gridCol w:w="109"/>
        <w:gridCol w:w="109"/>
        <w:gridCol w:w="109"/>
        <w:gridCol w:w="196"/>
        <w:gridCol w:w="751"/>
        <w:gridCol w:w="27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201"/>
        <w:gridCol w:w="205"/>
        <w:gridCol w:w="346"/>
        <w:gridCol w:w="109"/>
        <w:gridCol w:w="109"/>
        <w:gridCol w:w="109"/>
        <w:gridCol w:w="201"/>
        <w:gridCol w:w="205"/>
        <w:gridCol w:w="346"/>
        <w:gridCol w:w="109"/>
        <w:gridCol w:w="109"/>
        <w:gridCol w:w="109"/>
        <w:gridCol w:w="196"/>
        <w:gridCol w:w="751"/>
        <w:gridCol w:w="271"/>
        <w:gridCol w:w="109"/>
        <w:gridCol w:w="109"/>
        <w:gridCol w:w="109"/>
        <w:gridCol w:w="196"/>
        <w:gridCol w:w="646"/>
        <w:gridCol w:w="241"/>
        <w:gridCol w:w="109"/>
        <w:gridCol w:w="109"/>
        <w:gridCol w:w="109"/>
        <w:gridCol w:w="201"/>
        <w:gridCol w:w="205"/>
        <w:gridCol w:w="391"/>
      </w:tblGrid>
      <w:tr>
        <w:trPr/>
        <w:tc>
          <w:tcPr>
            <w:tcW w:w="60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Domestic Card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9,005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26,266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2,475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7,042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11,480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33,308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2,310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7,838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5,556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16,506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3,614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8,964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2,196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2,729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6,768</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260,252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260,252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257,311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255,336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yield on loans outstanding</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17.66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17.32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 margin</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performing delinquency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Purchase volume</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250,024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715,732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Refreshed FICO scores:</w:t>
            </w:r>
            <w:r>
              <w:rPr>
                <w:rFonts w:ascii="Times New Roman;serif" w:hAnsi="Times New Roman;serif"/>
                <w:b/>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660 or below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w:t>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w:t>
            </w:r>
          </w:p>
        </w:tc>
        <w:tc>
          <w:tcPr>
            <w:tcW w:w="27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11: Financial &amp; Statistical Summary—Consumer Banking Business </w:t>
      </w:r>
    </w:p>
    <w:tbl>
      <w:tblPr>
        <w:tblW w:w="13602" w:type="dxa"/>
        <w:jc w:val="left"/>
        <w:tblInd w:w="0" w:type="dxa"/>
        <w:tblLayout w:type="fixed"/>
        <w:tblCellMar>
          <w:top w:w="28" w:type="dxa"/>
          <w:left w:w="28" w:type="dxa"/>
          <w:bottom w:w="28" w:type="dxa"/>
          <w:right w:w="28" w:type="dxa"/>
        </w:tblCellMar>
      </w:tblPr>
      <w:tblGrid>
        <w:gridCol w:w="765"/>
        <w:gridCol w:w="225"/>
        <w:gridCol w:w="226"/>
        <w:gridCol w:w="109"/>
        <w:gridCol w:w="109"/>
        <w:gridCol w:w="109"/>
        <w:gridCol w:w="196"/>
        <w:gridCol w:w="571"/>
        <w:gridCol w:w="27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196"/>
        <w:gridCol w:w="556"/>
        <w:gridCol w:w="241"/>
        <w:gridCol w:w="109"/>
        <w:gridCol w:w="109"/>
        <w:gridCol w:w="109"/>
        <w:gridCol w:w="202"/>
        <w:gridCol w:w="204"/>
        <w:gridCol w:w="346"/>
        <w:gridCol w:w="109"/>
        <w:gridCol w:w="109"/>
        <w:gridCol w:w="109"/>
        <w:gridCol w:w="201"/>
        <w:gridCol w:w="205"/>
        <w:gridCol w:w="346"/>
        <w:gridCol w:w="109"/>
        <w:gridCol w:w="109"/>
        <w:gridCol w:w="109"/>
        <w:gridCol w:w="196"/>
        <w:gridCol w:w="571"/>
        <w:gridCol w:w="271"/>
        <w:gridCol w:w="109"/>
        <w:gridCol w:w="109"/>
        <w:gridCol w:w="109"/>
        <w:gridCol w:w="196"/>
        <w:gridCol w:w="556"/>
        <w:gridCol w:w="241"/>
        <w:gridCol w:w="109"/>
        <w:gridCol w:w="109"/>
        <w:gridCol w:w="109"/>
        <w:gridCol w:w="209"/>
        <w:gridCol w:w="149"/>
        <w:gridCol w:w="213"/>
      </w:tblGrid>
      <w:tr>
        <w:trPr/>
        <w:tc>
          <w:tcPr>
            <w:tcW w:w="7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2,531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7,191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2,230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3,300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9,421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6,261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741</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1,344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92,330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88,896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yield on loans held for investment</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9.71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29bps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Auto loan originations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37,149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431,095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431,095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432,953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428,391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432,428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(24)bps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performing delinquency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30+ day delinquency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Nonperforming loan rate</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0.66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0.66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Nonperforming asset rate</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0.77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Global Payment Network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190,934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554,878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Auto—At origination FICO scores:</w:t>
            </w:r>
            <w:r>
              <w:rPr>
                <w:rFonts w:ascii="Times New Roman;serif" w:hAnsi="Times New Roman;serif"/>
                <w:b/>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Greater than 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621 - 660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620 or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12: Financial &amp; Statistical Summary—Commercial Banking Business</w:t>
      </w:r>
    </w:p>
    <w:tbl>
      <w:tblPr>
        <w:tblW w:w="12490" w:type="dxa"/>
        <w:jc w:val="left"/>
        <w:tblInd w:w="0" w:type="dxa"/>
        <w:tblLayout w:type="fixed"/>
        <w:tblCellMar>
          <w:top w:w="28" w:type="dxa"/>
          <w:left w:w="28" w:type="dxa"/>
          <w:bottom w:w="28" w:type="dxa"/>
          <w:right w:w="28" w:type="dxa"/>
        </w:tblCellMar>
      </w:tblPr>
      <w:tblGrid>
        <w:gridCol w:w="765"/>
        <w:gridCol w:w="225"/>
        <w:gridCol w:w="226"/>
        <w:gridCol w:w="109"/>
        <w:gridCol w:w="109"/>
        <w:gridCol w:w="109"/>
        <w:gridCol w:w="196"/>
        <w:gridCol w:w="436"/>
        <w:gridCol w:w="27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96"/>
        <w:gridCol w:w="421"/>
        <w:gridCol w:w="241"/>
        <w:gridCol w:w="109"/>
        <w:gridCol w:w="109"/>
        <w:gridCol w:w="109"/>
        <w:gridCol w:w="174"/>
        <w:gridCol w:w="174"/>
        <w:gridCol w:w="178"/>
        <w:gridCol w:w="109"/>
        <w:gridCol w:w="109"/>
        <w:gridCol w:w="109"/>
        <w:gridCol w:w="214"/>
        <w:gridCol w:w="156"/>
        <w:gridCol w:w="156"/>
        <w:gridCol w:w="109"/>
        <w:gridCol w:w="109"/>
        <w:gridCol w:w="109"/>
        <w:gridCol w:w="317"/>
        <w:gridCol w:w="284"/>
        <w:gridCol w:w="430"/>
        <w:gridCol w:w="109"/>
        <w:gridCol w:w="109"/>
        <w:gridCol w:w="109"/>
        <w:gridCol w:w="334"/>
        <w:gridCol w:w="267"/>
        <w:gridCol w:w="414"/>
        <w:gridCol w:w="109"/>
        <w:gridCol w:w="109"/>
        <w:gridCol w:w="109"/>
        <w:gridCol w:w="209"/>
        <w:gridCol w:w="149"/>
        <w:gridCol w:w="213"/>
      </w:tblGrid>
      <w:tr>
        <w:trPr/>
        <w:tc>
          <w:tcPr>
            <w:tcW w:w="76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w:t>
            </w: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901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313</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92,127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92,127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Average loans held for investment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91,380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Average yield on loans held for investment</w:t>
            </w:r>
            <w:r>
              <w:rPr>
                <w:rFonts w:ascii="Times New Roman;serif" w:hAnsi="Times New Roman;serif"/>
                <w:b w:val="false"/>
                <w:color w:val="000000"/>
                <w:sz w:val="1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5.88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5.77</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(60)bps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1.82</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(29)bps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 (recovery)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0.27</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Nonperforming loan rate</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w:t>
            </w: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Nonperforming asset rate</w:t>
            </w:r>
            <w:r>
              <w:rPr>
                <w:rFonts w:ascii="Times New Roman;serif" w:hAnsi="Times New Roman;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Risk category:</w:t>
            </w:r>
            <w:r>
              <w:rPr>
                <w:rFonts w:ascii="Times New Roman;serif" w:hAnsi="Times New Roman;serif"/>
                <w:b/>
                <w:color w:val="000000"/>
                <w:sz w:val="1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Noncriticized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86,948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Criticized performing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Criticized nonperforming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92,127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92,127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Risk category as a percentage of period-end loans held for investment:</w:t>
            </w:r>
            <w:r>
              <w:rPr>
                <w:rFonts w:ascii="Times New Roman;serif" w:hAnsi="Times New Roman;serif"/>
                <w:b/>
                <w:color w:val="000000"/>
                <w:sz w:val="1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Noncriticized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94.38</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93.48</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90bps</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Criticized performing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4.40</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Criticized nonperforming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w:t>
            </w: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banking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100.00</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100.00</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Table 13: Financial &amp; Statistical Summary—Other and Total </w:t>
      </w:r>
    </w:p>
    <w:tbl>
      <w:tblPr>
        <w:tblW w:w="13081" w:type="dxa"/>
        <w:jc w:val="left"/>
        <w:tblInd w:w="0" w:type="dxa"/>
        <w:tblLayout w:type="fixed"/>
        <w:tblCellMar>
          <w:top w:w="28" w:type="dxa"/>
          <w:left w:w="28" w:type="dxa"/>
          <w:bottom w:w="28" w:type="dxa"/>
          <w:right w:w="28" w:type="dxa"/>
        </w:tblCellMar>
      </w:tblPr>
      <w:tblGrid>
        <w:gridCol w:w="610"/>
        <w:gridCol w:w="220"/>
        <w:gridCol w:w="221"/>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55"/>
        <w:gridCol w:w="155"/>
        <w:gridCol w:w="156"/>
        <w:gridCol w:w="109"/>
        <w:gridCol w:w="109"/>
        <w:gridCol w:w="109"/>
        <w:gridCol w:w="155"/>
        <w:gridCol w:w="155"/>
        <w:gridCol w:w="156"/>
        <w:gridCol w:w="109"/>
        <w:gridCol w:w="109"/>
        <w:gridCol w:w="109"/>
        <w:gridCol w:w="196"/>
        <w:gridCol w:w="751"/>
        <w:gridCol w:w="109"/>
        <w:gridCol w:w="109"/>
        <w:gridCol w:w="109"/>
        <w:gridCol w:w="109"/>
        <w:gridCol w:w="196"/>
        <w:gridCol w:w="736"/>
        <w:gridCol w:w="109"/>
        <w:gridCol w:w="109"/>
        <w:gridCol w:w="109"/>
        <w:gridCol w:w="109"/>
        <w:gridCol w:w="149"/>
        <w:gridCol w:w="149"/>
        <w:gridCol w:w="213"/>
      </w:tblGrid>
      <w:tr>
        <w:trPr/>
        <w:tc>
          <w:tcPr>
            <w:tcW w:w="61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Q3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186%</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net revenue (loss)</w:t>
            </w: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bookmarkStart w:id="0" w:name="if05812241ba94b7397c657ca7f07734e_8-2-1-"/>
            <w:bookmarkEnd w:id="0"/>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Non-interest expense</w:t>
            </w:r>
            <w:r>
              <w:rPr>
                <w:rFonts w:ascii="Times New Roman;serif" w:hAnsi="Times New Roman;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continuing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continuing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12,886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47,425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26,363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11,089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performance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462,530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462,530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457,380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451,472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Period-end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480,697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480,697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482,613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483,130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 xml:space="preserve">Table 14: Notes to Net Interest Margin, Loan, Allowance and Business Segment Disclosures (Tables 6—13) </w:t>
      </w:r>
    </w:p>
    <w:p>
      <w:pPr>
        <w:pStyle w:val="TextBody"/>
        <w:bidi w:val="0"/>
        <w:spacing w:before="60" w:after="60"/>
        <w:ind w:left="0" w:right="0" w:hanging="360"/>
        <w:jc w:val="both"/>
        <w:rPr/>
      </w:pPr>
      <w:r>
        <w:rPr/>
      </w:r>
    </w:p>
    <w:p>
      <w:pPr>
        <w:pStyle w:val="TextBody"/>
        <w:bidi w:val="0"/>
        <w:spacing w:lineRule="auto" w:line="288" w:before="60" w:after="6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Average yield is calculated based on annualized interest income for the period divided by average loans during the period. Average yield is calculated using whole dollar values for average balances and interest income/expense. Accordingly, total interest earning assets less total interest bearing liabilities may not total net interest income/spread.</w:t>
      </w:r>
    </w:p>
    <w:p>
      <w:pPr>
        <w:pStyle w:val="TextBody"/>
        <w:bidi w:val="0"/>
        <w:spacing w:lineRule="auto" w:line="288" w:before="60" w:after="6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Includes amounts related to entities that provide capital to low-income and rural communities of $2.8 billion in Q3 2026, $2.4 billion in Q2 2026, $2.1 billion in Q3 2025 and $2.5 billion for the first nine months of 2026 and $2.1 billion for the first nine months of 2025. Related interest expense was $10 million in Q3 2026, $9 million in Q2 2026, $8 million in Q3 2025 and $27 million for the first nine months of 2026 and $23 million for the first nine months of 2025.</w:t>
      </w:r>
    </w:p>
    <w:p>
      <w:pPr>
        <w:pStyle w:val="TextBody"/>
        <w:bidi w:val="0"/>
        <w:spacing w:lineRule="auto" w:line="288" w:before="0" w:after="0"/>
        <w:ind w:left="0" w:right="0" w:hanging="360"/>
        <w:jc w:val="left"/>
        <w:rPr/>
      </w:pPr>
      <w:r>
        <w:rPr>
          <w:rFonts w:ascii="Times New Roman;serif" w:hAnsi="Times New Roman;serif"/>
          <w:b w:val="false"/>
          <w:color w:val="000000"/>
          <w:sz w:val="10"/>
        </w:rPr>
        <w:t>(3)</w:t>
      </w:r>
      <w:r>
        <w:rPr>
          <w:rFonts w:ascii="Times New Roman;serif" w:hAnsi="Times New Roman;serif"/>
          <w:b w:val="false"/>
          <w:color w:val="000000"/>
          <w:sz w:val="16"/>
        </w:rPr>
        <w:t>Effective in the second quarter of 2026, Domestic Card results include Brex and our legacy corporate card product.</w:t>
      </w:r>
    </w:p>
    <w:p>
      <w:pPr>
        <w:pStyle w:val="TextBody"/>
        <w:bidi w:val="0"/>
        <w:spacing w:lineRule="auto" w:line="288" w:before="60" w:after="60"/>
        <w:ind w:left="0" w:right="0" w:hanging="360"/>
        <w:jc w:val="both"/>
        <w:rPr/>
      </w:pPr>
      <w:r>
        <w:rPr>
          <w:rFonts w:ascii="Times New Roman;serif" w:hAnsi="Times New Roman;serif"/>
          <w:b w:val="false"/>
          <w:color w:val="000000"/>
          <w:sz w:val="10"/>
        </w:rPr>
        <w:t>(4)</w:t>
      </w:r>
      <w:r>
        <w:rPr>
          <w:rFonts w:ascii="Times New Roman;serif" w:hAnsi="Times New Roman;serif"/>
          <w:b w:val="false"/>
          <w:color w:val="000000"/>
          <w:sz w:val="16"/>
        </w:rPr>
        <w:t>Nonperforming loan rates are calculated based on nonperforming loans for each category divided by period-end total loans held for investment for each respective category. For Commercial Banking, loans categorized as nonperforming are considered criticized nonperforming.</w:t>
      </w:r>
    </w:p>
    <w:p>
      <w:pPr>
        <w:pStyle w:val="TextBody"/>
        <w:bidi w:val="0"/>
        <w:spacing w:lineRule="auto" w:line="288" w:before="60" w:after="60"/>
        <w:ind w:left="0" w:right="0" w:hanging="360"/>
        <w:jc w:val="both"/>
        <w:rPr/>
      </w:pPr>
      <w:r>
        <w:rPr>
          <w:rFonts w:ascii="Times New Roman;serif" w:hAnsi="Times New Roman;serif"/>
          <w:b w:val="false"/>
          <w:color w:val="000000"/>
          <w:sz w:val="10"/>
        </w:rPr>
        <w:t>(5)</w:t>
      </w:r>
      <w:r>
        <w:rPr>
          <w:rFonts w:ascii="Times New Roman;serif" w:hAnsi="Times New Roman;serif"/>
          <w:b w:val="false"/>
          <w:color w:val="000000"/>
          <w:sz w:val="16"/>
        </w:rPr>
        <w:t>Nonperforming assets consist of nonperforming loans, repossessed assets and other foreclosed assets. The total nonperforming asset rate is calculated based on total nonperforming assets divided by the combined period-end total loans held for investment, repossessed assets and other foreclosed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(6)</w:t>
      </w:r>
      <w:r>
        <w:rPr>
          <w:rFonts w:ascii="Times New Roman;serif" w:hAnsi="Times New Roman;serif"/>
          <w:b w:val="false"/>
          <w:color w:val="000000"/>
          <w:sz w:val="16"/>
        </w:rPr>
        <w:t>Primarily represents foreign currency translation adjustments.</w:t>
      </w:r>
    </w:p>
    <w:p>
      <w:pPr>
        <w:pStyle w:val="TextBody"/>
        <w:bidi w:val="0"/>
        <w:spacing w:lineRule="auto" w:line="288" w:before="60" w:after="60"/>
        <w:ind w:left="0" w:right="0" w:hanging="360"/>
        <w:jc w:val="both"/>
        <w:rPr/>
      </w:pPr>
      <w:r>
        <w:rPr>
          <w:rFonts w:ascii="Times New Roman;serif" w:hAnsi="Times New Roman;serif"/>
          <w:b w:val="false"/>
          <w:color w:val="000000"/>
          <w:sz w:val="10"/>
        </w:rPr>
        <w:t>(7)</w:t>
      </w:r>
      <w:r>
        <w:rPr>
          <w:rFonts w:ascii="Times New Roman;serif" w:hAnsi="Times New Roman;serif"/>
          <w:b w:val="false"/>
          <w:color w:val="000000"/>
          <w:sz w:val="16"/>
        </w:rPr>
        <w:t>Some of our commercial investments generate tax-exempt income, tax credits or other tax benefits. Accordingly, we present our Commercial Banking revenue and yields on a taxable-equivalent basis, calculated using a blended federal and state statutory tax rate, with offsetting reductions to the Other category.</w:t>
      </w:r>
    </w:p>
    <w:p>
      <w:pPr>
        <w:pStyle w:val="TextBody"/>
        <w:bidi w:val="0"/>
        <w:spacing w:lineRule="auto" w:line="288" w:before="60" w:after="60"/>
        <w:ind w:left="0" w:right="0" w:hanging="360"/>
        <w:jc w:val="both"/>
        <w:rPr/>
      </w:pPr>
      <w:r>
        <w:rPr>
          <w:rFonts w:ascii="Times New Roman;serif" w:hAnsi="Times New Roman;serif"/>
          <w:b w:val="false"/>
          <w:color w:val="000000"/>
          <w:sz w:val="10"/>
        </w:rPr>
        <w:t>(8)</w:t>
      </w:r>
      <w:r>
        <w:rPr>
          <w:rFonts w:ascii="Times New Roman;serif" w:hAnsi="Times New Roman;serif"/>
          <w:b w:val="false"/>
          <w:color w:val="000000"/>
          <w:sz w:val="16"/>
        </w:rPr>
        <w:t>Includes the impact of $47 million and $96 million in Brex integration expenses in Q3 2026 and Q2 2026, respectively.</w:t>
      </w:r>
    </w:p>
    <w:p>
      <w:pPr>
        <w:pStyle w:val="TextBody"/>
        <w:bidi w:val="0"/>
        <w:spacing w:lineRule="auto" w:line="288" w:before="60" w:after="60"/>
        <w:ind w:left="0" w:right="0" w:hanging="360"/>
        <w:jc w:val="both"/>
        <w:rPr/>
      </w:pPr>
      <w:r>
        <w:rPr>
          <w:rFonts w:ascii="Times New Roman;serif" w:hAnsi="Times New Roman;serif"/>
          <w:b w:val="false"/>
          <w:color w:val="000000"/>
          <w:sz w:val="10"/>
        </w:rPr>
        <w:t>(9)</w:t>
      </w:r>
      <w:r>
        <w:rPr>
          <w:rFonts w:ascii="Times New Roman;serif" w:hAnsi="Times New Roman;serif"/>
          <w:b w:val="false"/>
          <w:color w:val="000000"/>
          <w:sz w:val="16"/>
        </w:rPr>
        <w:t xml:space="preserve">Total net revenue margin is calculated based on annualized total net revenue for the period divided by average interest-earning assets for the period. </w:t>
      </w:r>
    </w:p>
    <w:p>
      <w:pPr>
        <w:pStyle w:val="TextBody"/>
        <w:bidi w:val="0"/>
        <w:spacing w:lineRule="auto" w:line="288" w:before="60" w:after="60"/>
        <w:ind w:left="0" w:right="0" w:hanging="360"/>
        <w:jc w:val="both"/>
        <w:rPr/>
      </w:pPr>
      <w:r>
        <w:rPr>
          <w:rFonts w:ascii="Times New Roman;serif" w:hAnsi="Times New Roman;serif"/>
          <w:b w:val="false"/>
          <w:color w:val="000000"/>
          <w:sz w:val="10"/>
        </w:rPr>
        <w:t>(10)</w:t>
      </w:r>
      <w:r>
        <w:rPr>
          <w:rFonts w:ascii="Times New Roman;serif" w:hAnsi="Times New Roman;serif"/>
          <w:b w:val="false"/>
          <w:color w:val="000000"/>
          <w:sz w:val="16"/>
        </w:rPr>
        <w:t>Purchase volume consists of purchase transactions, net of returns, for the period, and excludes cash advance and balance transfer transactions.</w:t>
      </w:r>
    </w:p>
    <w:p>
      <w:pPr>
        <w:pStyle w:val="TextBody"/>
        <w:bidi w:val="0"/>
        <w:spacing w:lineRule="auto" w:line="288" w:before="60" w:after="60"/>
        <w:ind w:left="0" w:right="0" w:hanging="360"/>
        <w:jc w:val="both"/>
        <w:rPr/>
      </w:pPr>
      <w:r>
        <w:rPr>
          <w:rFonts w:ascii="Times New Roman;serif" w:hAnsi="Times New Roman;serif"/>
          <w:b w:val="false"/>
          <w:color w:val="000000"/>
          <w:sz w:val="10"/>
        </w:rPr>
        <w:t>(11)</w:t>
      </w:r>
      <w:r>
        <w:rPr>
          <w:rFonts w:ascii="Times New Roman;serif" w:hAnsi="Times New Roman;serif"/>
          <w:b w:val="false"/>
          <w:color w:val="000000"/>
          <w:sz w:val="16"/>
        </w:rPr>
        <w:t>Percentages represent period-end loans held for investment in each credit score category. Domestic Card credit scores generally represent FICO scores. These scores are obtained from one of the major credit bureaus at origination and are refreshed monthly thereafter. We approximate non-FICO credit scores to comparable FICO scores for consistency purposes. Balances for which no credit score is available or the credit score is invalid are included in the 660 or below category. Corporate cards do not have FICO scores associated with such loans and therefore are excluded.</w:t>
      </w:r>
    </w:p>
    <w:p>
      <w:pPr>
        <w:pStyle w:val="TextBody"/>
        <w:bidi w:val="0"/>
        <w:spacing w:lineRule="auto" w:line="288" w:before="60" w:after="60"/>
        <w:ind w:left="0" w:right="0" w:hanging="360"/>
        <w:jc w:val="both"/>
        <w:rPr/>
      </w:pPr>
      <w:r>
        <w:rPr>
          <w:rFonts w:ascii="Times New Roman;serif" w:hAnsi="Times New Roman;serif"/>
          <w:b w:val="false"/>
          <w:color w:val="000000"/>
          <w:sz w:val="10"/>
        </w:rPr>
        <w:t>(12)</w:t>
      </w:r>
      <w:r>
        <w:rPr>
          <w:rFonts w:ascii="Times New Roman;serif" w:hAnsi="Times New Roman;serif"/>
          <w:b w:val="false"/>
          <w:color w:val="000000"/>
          <w:sz w:val="16"/>
        </w:rPr>
        <w:t>Percentages represent period-end loans held for investment in each credit score category. Auto credit scores generally represent average FICO scores obtained from three credit bureaus at the time of application and are not refreshed thereafter. Balances for which no credit score is available or the credit score is invalid are included in the 620 or below category.</w:t>
      </w:r>
    </w:p>
    <w:p>
      <w:pPr>
        <w:pStyle w:val="TextBody"/>
        <w:bidi w:val="0"/>
        <w:spacing w:lineRule="auto" w:line="288" w:before="60" w:after="60"/>
        <w:ind w:left="0" w:right="0" w:hanging="360"/>
        <w:jc w:val="both"/>
        <w:rPr/>
      </w:pPr>
      <w:r>
        <w:rPr>
          <w:rFonts w:ascii="Times New Roman;serif" w:hAnsi="Times New Roman;serif"/>
          <w:b w:val="false"/>
          <w:color w:val="000000"/>
          <w:sz w:val="10"/>
        </w:rPr>
        <w:t>(13)</w:t>
      </w:r>
      <w:r>
        <w:rPr>
          <w:rFonts w:ascii="Times New Roman;serif" w:hAnsi="Times New Roman;serif"/>
          <w:b w:val="false"/>
          <w:color w:val="000000"/>
          <w:sz w:val="16"/>
        </w:rPr>
        <w:t>Criticized exposures correspond to the “Special Mention,” “Substandard” and “Doubtful” asset categories defined by bank regulatory authorities.</w:t>
      </w:r>
    </w:p>
    <w:p>
      <w:pPr>
        <w:pStyle w:val="TextBody"/>
        <w:bidi w:val="0"/>
        <w:spacing w:lineRule="auto" w:line="288" w:before="60" w:after="60"/>
        <w:ind w:left="0" w:right="0" w:hanging="360"/>
        <w:jc w:val="both"/>
        <w:rPr/>
      </w:pPr>
      <w:r>
        <w:rPr>
          <w:rFonts w:ascii="Times New Roman;serif" w:hAnsi="Times New Roman;serif"/>
          <w:b w:val="false"/>
          <w:color w:val="000000"/>
          <w:sz w:val="10"/>
        </w:rPr>
        <w:t>(14)</w:t>
      </w:r>
      <w:r>
        <w:rPr>
          <w:rFonts w:ascii="Times New Roman;serif" w:hAnsi="Times New Roman;serif"/>
          <w:b w:val="false"/>
          <w:color w:val="000000"/>
          <w:sz w:val="16"/>
        </w:rPr>
        <w:t xml:space="preserve">Includes the impact of $338 million, $298 million, $415 million, $352 million and $348 million in Discover integration expenses in Q3 2026, Q2 2026, Q1 2026, Q4 2025 and Q3 2025, respectively, as well as any charges incurred as a result of other restructuring activities for the periods presented. </w:t>
      </w:r>
    </w:p>
    <w:p>
      <w:pPr>
        <w:pStyle w:val="TextBody"/>
        <w:bidi w:val="0"/>
        <w:spacing w:lineRule="auto" w:line="288" w:before="6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60"/>
        <w:jc w:val="left"/>
        <w:rPr/>
      </w:pPr>
      <w:r>
        <w:rPr>
          <w:rFonts w:ascii="Times New Roman;serif" w:hAnsi="Times New Roman;serif"/>
          <w:b/>
          <w:color w:val="000000"/>
          <w:sz w:val="20"/>
        </w:rPr>
        <w:t>Table 15: Calculation of Regulatory Capital Measures and Reconciliation of Non-GAAP Measures</w:t>
      </w:r>
      <w:r>
        <w:rPr>
          <w:rFonts w:ascii="Times New Roman;serif" w:hAnsi="Times New Roman;serif"/>
          <w:b/>
          <w:color w:val="000000"/>
          <w:sz w:val="13"/>
        </w:rPr>
        <w:t>(1)</w:t>
      </w:r>
    </w:p>
    <w:tbl>
      <w:tblPr>
        <w:tblW w:w="10205" w:type="dxa"/>
        <w:jc w:val="center"/>
        <w:tblInd w:w="0" w:type="dxa"/>
        <w:tblLayout w:type="fixed"/>
        <w:tblCellMar>
          <w:top w:w="28" w:type="dxa"/>
          <w:left w:w="28" w:type="dxa"/>
          <w:bottom w:w="28" w:type="dxa"/>
          <w:right w:w="28" w:type="dxa"/>
        </w:tblCellMar>
      </w:tblPr>
      <w:tblGrid>
        <w:gridCol w:w="1226"/>
        <w:gridCol w:w="906"/>
        <w:gridCol w:w="910"/>
        <w:gridCol w:w="109"/>
        <w:gridCol w:w="109"/>
        <w:gridCol w:w="109"/>
        <w:gridCol w:w="487"/>
        <w:gridCol w:w="344"/>
        <w:gridCol w:w="347"/>
        <w:gridCol w:w="109"/>
        <w:gridCol w:w="109"/>
        <w:gridCol w:w="109"/>
        <w:gridCol w:w="281"/>
        <w:gridCol w:w="342"/>
        <w:gridCol w:w="349"/>
        <w:gridCol w:w="109"/>
        <w:gridCol w:w="109"/>
        <w:gridCol w:w="109"/>
        <w:gridCol w:w="341"/>
        <w:gridCol w:w="344"/>
        <w:gridCol w:w="347"/>
        <w:gridCol w:w="109"/>
        <w:gridCol w:w="109"/>
        <w:gridCol w:w="109"/>
        <w:gridCol w:w="455"/>
        <w:gridCol w:w="344"/>
        <w:gridCol w:w="347"/>
        <w:gridCol w:w="109"/>
        <w:gridCol w:w="109"/>
        <w:gridCol w:w="109"/>
        <w:gridCol w:w="459"/>
        <w:gridCol w:w="304"/>
        <w:gridCol w:w="437"/>
      </w:tblGrid>
      <w:tr>
        <w:trPr/>
        <w:tc>
          <w:tcPr>
            <w:tcW w:w="122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Basel III Standardized Approach</w:t>
            </w:r>
          </w:p>
        </w:tc>
      </w:tr>
      <w:tr>
        <w:trPr/>
        <w:tc>
          <w:tcPr>
            <w:tcW w:w="3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xml:space="preserve">(Dollars in millions, except as noted)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September 30, </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September 30, </w:t>
              <w:br/>
              <w:t>2025</w:t>
            </w:r>
          </w:p>
        </w:tc>
      </w:tr>
      <w:tr>
        <w:trPr/>
        <w:tc>
          <w:tcPr>
            <w:tcW w:w="30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Regulatory Capital Metrics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excluding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115,246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114,323</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AOCI, net of tax</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net of related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(28,575)</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and deferred tax assets, net of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(12,846)</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Tier 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72,970</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76,164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78,377</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capital</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85,698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87,853</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520,429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506,535</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average assets</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638,655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629,997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622,435</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Capital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Common equity Tier 1 capital</w:t>
            </w: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Tier 1 capital</w:t>
            </w:r>
            <w:r>
              <w:rPr>
                <w:rFonts w:ascii="Times New Roman;serif" w:hAnsi="Times New Roman;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capital</w:t>
            </w:r>
            <w:r>
              <w:rPr>
                <w:rFonts w:ascii="Times New Roman;serif" w:hAnsi="Times New Roman;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Tier 1 leverage</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TCE</w:t>
            </w:r>
            <w:r>
              <w:rPr>
                <w:rFonts w:ascii="Times New Roman;serif" w:hAnsi="Times New Roman;serif"/>
                <w:b w:val="false"/>
                <w:color w:val="000000"/>
                <w:sz w:val="1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r>
    </w:tbl>
    <w:p>
      <w:pPr>
        <w:pStyle w:val="TextBody"/>
        <w:bidi w:val="0"/>
        <w:spacing w:lineRule="auto" w:line="288" w:before="100" w:after="283"/>
        <w:jc w:val="center"/>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non-GAAP measures consist of our adjusted results that we believe help investors and users of our financial information understand the effect of adjusting items on our selected reported results, however, they may not be comparable to similarly-titled measures reported by other companies. These adjusted results provide alternate measurements of our operating performance, both for the current period and trends across multiple periods. The following tables present reconciliations of these non-GAAP measures to the applicable amounts measured in accordance with GAAP.</w:t>
      </w:r>
    </w:p>
    <w:tbl>
      <w:tblPr>
        <w:tblW w:w="10205" w:type="dxa"/>
        <w:jc w:val="left"/>
        <w:tblInd w:w="0" w:type="dxa"/>
        <w:tblLayout w:type="fixed"/>
        <w:tblCellMar>
          <w:top w:w="28" w:type="dxa"/>
          <w:left w:w="28" w:type="dxa"/>
          <w:bottom w:w="28" w:type="dxa"/>
          <w:right w:w="28" w:type="dxa"/>
        </w:tblCellMar>
      </w:tblPr>
      <w:tblGrid>
        <w:gridCol w:w="1079"/>
        <w:gridCol w:w="449"/>
        <w:gridCol w:w="451"/>
        <w:gridCol w:w="109"/>
        <w:gridCol w:w="109"/>
        <w:gridCol w:w="109"/>
        <w:gridCol w:w="220"/>
        <w:gridCol w:w="297"/>
        <w:gridCol w:w="304"/>
        <w:gridCol w:w="109"/>
        <w:gridCol w:w="109"/>
        <w:gridCol w:w="109"/>
        <w:gridCol w:w="220"/>
        <w:gridCol w:w="297"/>
        <w:gridCol w:w="304"/>
        <w:gridCol w:w="109"/>
        <w:gridCol w:w="109"/>
        <w:gridCol w:w="109"/>
        <w:gridCol w:w="220"/>
        <w:gridCol w:w="297"/>
        <w:gridCol w:w="304"/>
        <w:gridCol w:w="109"/>
        <w:gridCol w:w="109"/>
        <w:gridCol w:w="109"/>
        <w:gridCol w:w="220"/>
        <w:gridCol w:w="297"/>
        <w:gridCol w:w="304"/>
        <w:gridCol w:w="109"/>
        <w:gridCol w:w="109"/>
        <w:gridCol w:w="109"/>
        <w:gridCol w:w="220"/>
        <w:gridCol w:w="297"/>
        <w:gridCol w:w="304"/>
        <w:gridCol w:w="109"/>
        <w:gridCol w:w="109"/>
        <w:gridCol w:w="109"/>
        <w:gridCol w:w="269"/>
        <w:gridCol w:w="299"/>
        <w:gridCol w:w="302"/>
        <w:gridCol w:w="124"/>
        <w:gridCol w:w="124"/>
        <w:gridCol w:w="124"/>
        <w:gridCol w:w="269"/>
        <w:gridCol w:w="277"/>
        <w:gridCol w:w="371"/>
      </w:tblGrid>
      <w:tr>
        <w:trPr/>
        <w:tc>
          <w:tcPr>
            <w:tcW w:w="107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9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per share data and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diluted earnings per share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stockholders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8,438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 amortization expenses</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Discover integration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1,051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Brex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Initial allowance build for Discover non-PCD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8,767</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Legal reserve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sale of home loan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special assessment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available to common stockholders before income tax impacts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11,086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10,823</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impacts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w:t>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available to common stockholders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10,432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weighted-average common shares outstanding (in millions)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618.0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510.9</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EPS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13.65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adjustments noted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3.23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diluted EPS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16.88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efficiency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26,363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21,156</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 amortization expenses</w:t>
            </w:r>
            <w:r>
              <w:rPr>
                <w:rFonts w:ascii="Times New Roman;serif" w:hAnsi="Times New Roman;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(1,515)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Discover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(1,051)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Brex integration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reserve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special assessment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non-interest expense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23,654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19,407</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47,425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37,851</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 amortization expenses</w:t>
            </w:r>
            <w:r>
              <w:rPr>
                <w:rFonts w:ascii="Times New Roman;serif" w:hAnsi="Times New Roman;serif"/>
                <w:b w:val="false"/>
                <w:color w:val="000000"/>
                <w:sz w:val="1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47,364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38,041</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81"/>
        <w:gridCol w:w="388"/>
        <w:gridCol w:w="390"/>
        <w:gridCol w:w="109"/>
        <w:gridCol w:w="109"/>
        <w:gridCol w:w="109"/>
        <w:gridCol w:w="285"/>
        <w:gridCol w:w="194"/>
        <w:gridCol w:w="407"/>
        <w:gridCol w:w="109"/>
        <w:gridCol w:w="109"/>
        <w:gridCol w:w="109"/>
        <w:gridCol w:w="285"/>
        <w:gridCol w:w="194"/>
        <w:gridCol w:w="407"/>
        <w:gridCol w:w="109"/>
        <w:gridCol w:w="109"/>
        <w:gridCol w:w="109"/>
        <w:gridCol w:w="285"/>
        <w:gridCol w:w="194"/>
        <w:gridCol w:w="407"/>
        <w:gridCol w:w="109"/>
        <w:gridCol w:w="109"/>
        <w:gridCol w:w="109"/>
        <w:gridCol w:w="328"/>
        <w:gridCol w:w="207"/>
        <w:gridCol w:w="394"/>
        <w:gridCol w:w="109"/>
        <w:gridCol w:w="109"/>
        <w:gridCol w:w="109"/>
        <w:gridCol w:w="328"/>
        <w:gridCol w:w="207"/>
        <w:gridCol w:w="394"/>
        <w:gridCol w:w="109"/>
        <w:gridCol w:w="109"/>
        <w:gridCol w:w="109"/>
        <w:gridCol w:w="310"/>
        <w:gridCol w:w="176"/>
        <w:gridCol w:w="443"/>
        <w:gridCol w:w="118"/>
        <w:gridCol w:w="118"/>
        <w:gridCol w:w="118"/>
        <w:gridCol w:w="310"/>
        <w:gridCol w:w="176"/>
        <w:gridCol w:w="499"/>
      </w:tblGrid>
      <w:tr>
        <w:trPr/>
        <w:tc>
          <w:tcPr>
            <w:tcW w:w="68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4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 except per share data and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Efficiency ratio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59.95</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53.80</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55.59%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adjustments noted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(543)</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(565)</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bps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efficiency ratio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47.96</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49.94%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51.02%</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operating efficiency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7,262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21,611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17,206</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 amortization expenses</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(1,515)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Discover integration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(1,051)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Brex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Legal reserve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special assessment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operating expense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18,902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15,457</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47,425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37,851</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 amortization expenses</w:t>
            </w:r>
            <w:r>
              <w:rPr>
                <w:rFonts w:ascii="Times New Roman;serif" w:hAnsi="Times New Roman;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revenue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47,364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38,041</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efficiency ratio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47.54</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44.66</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45.57%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45.46%</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adjustments noted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(544)</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(566)</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bps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bps</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operating efficiency ratio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41.35</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38.89</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39.91%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40.63%</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The following summarizes our non-GAAP measures. While these non-GAAP measures are widely used by investors, analysts and bank regulatory agencies to assess the operating performance and capital position of financial services companies, they may not be comparable to similarly-titled measures reported by other companies. The following table presents reconciliations of these non-GAAP measures to the applicable amounts measured in accordance with GAAP.</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11"/>
        <w:gridCol w:w="915"/>
        <w:gridCol w:w="832"/>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55"/>
      </w:tblGrid>
      <w:tr>
        <w:trPr/>
        <w:tc>
          <w:tcPr>
            <w:tcW w:w="12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Pre-provision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Pre-provision earnings</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pre-provision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revenue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non-interest expense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pre-provision earnings</w:t>
            </w:r>
            <w:r>
              <w:rPr>
                <w:rFonts w:ascii="Times New Roman;serif" w:hAnsi="Times New Roman;serif"/>
                <w:b w:val="false"/>
                <w:color w:val="000000"/>
                <w:sz w:val="1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common equity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109,656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 assets, includes impact of related 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Noncumulative perpetual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common equity</w:t>
            </w:r>
            <w:r>
              <w:rPr>
                <w:rFonts w:ascii="Times New Roman;serif" w:hAnsi="Times New Roman;serif"/>
                <w:b w:val="false"/>
                <w:color w:val="000000"/>
                <w:sz w:val="1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61,791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common equity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113,571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Goodwill and other intangible assets, includes impact of related deferred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Noncumulative perpetual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common equity</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64,814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Return on tangible common equity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to common stockholders less 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Tangible common equity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64,814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tangible common equity</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assets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672,867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661,877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 assets, includes impact of related 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assets</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629,421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94"/>
        <w:gridCol w:w="1003"/>
        <w:gridCol w:w="100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6"/>
      </w:tblGrid>
      <w:tr>
        <w:trPr/>
        <w:tc>
          <w:tcPr>
            <w:tcW w:w="129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Q3</w:t>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assets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676,168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 assets, includes impact of related 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assets</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632,496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616,043 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Return on tangible assets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less 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assets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632,496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tangible assets</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TCE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common equity (period-end)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assets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629,421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620,340 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TCE ratio</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Tangible book value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common equity (period-end)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Tangible book value per common share</w:t>
            </w:r>
            <w:r>
              <w:rPr>
                <w:rFonts w:ascii="Times New Roman;serif" w:hAnsi="Times New Roman;serif"/>
                <w:b w:val="false"/>
                <w:color w:val="000000"/>
                <w:sz w:val="1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102.72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ONE FINANCIAL CORPORATION (COF)</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Table 16: Notes to Calculation of Regulatory Capital Measures and Reconciliation of Non-GAAP Measures (Table 15)</w:t>
      </w:r>
    </w:p>
    <w:p>
      <w:pPr>
        <w:pStyle w:val="TextBody"/>
        <w:bidi w:val="0"/>
        <w:spacing w:before="60" w:after="60"/>
        <w:ind w:left="0" w:right="0" w:hanging="360"/>
        <w:jc w:val="both"/>
        <w:rPr/>
      </w:pPr>
      <w:r>
        <w:rPr/>
      </w:r>
    </w:p>
    <w:p>
      <w:pPr>
        <w:pStyle w:val="TextBody"/>
        <w:bidi w:val="0"/>
        <w:spacing w:lineRule="auto" w:line="288" w:before="60" w:after="6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Regulatory capital metrics and capital ratios as of September 30, 2026 are preliminary and therefore subject to change.    </w:t>
      </w:r>
    </w:p>
    <w:p>
      <w:pPr>
        <w:pStyle w:val="TextBody"/>
        <w:bidi w:val="0"/>
        <w:spacing w:lineRule="auto" w:line="288" w:before="60" w:after="6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Excludes certain components of AOCI in accordance with rules applicable to Category III institutions.</w:t>
      </w:r>
    </w:p>
    <w:p>
      <w:pPr>
        <w:pStyle w:val="TextBody"/>
        <w:bidi w:val="0"/>
        <w:spacing w:lineRule="auto" w:line="288" w:before="60" w:after="60"/>
        <w:ind w:left="0" w:right="0" w:hanging="360"/>
        <w:jc w:val="both"/>
        <w:rPr/>
      </w:pPr>
      <w:r>
        <w:rPr>
          <w:rFonts w:ascii="Times New Roman;serif" w:hAnsi="Times New Roman;serif"/>
          <w:b w:val="false"/>
          <w:color w:val="000000"/>
          <w:sz w:val="10"/>
        </w:rPr>
        <w:t>(3)</w:t>
      </w:r>
      <w:r>
        <w:rPr>
          <w:rFonts w:ascii="Times New Roman;serif" w:hAnsi="Times New Roman;serif"/>
          <w:b w:val="false"/>
          <w:color w:val="000000"/>
          <w:sz w:val="16"/>
        </w:rPr>
        <w:t>Total capital equals the sum of Tier 1 capital and Tier 2 capital.</w:t>
      </w:r>
    </w:p>
    <w:p>
      <w:pPr>
        <w:pStyle w:val="TextBody"/>
        <w:bidi w:val="0"/>
        <w:spacing w:lineRule="auto" w:line="288" w:before="60" w:after="60"/>
        <w:ind w:left="0" w:right="0" w:hanging="360"/>
        <w:jc w:val="both"/>
        <w:rPr/>
      </w:pPr>
      <w:r>
        <w:rPr>
          <w:rFonts w:ascii="Times New Roman;serif" w:hAnsi="Times New Roman;serif"/>
          <w:b w:val="false"/>
          <w:color w:val="000000"/>
          <w:sz w:val="10"/>
        </w:rPr>
        <w:t>(4)</w:t>
      </w:r>
      <w:r>
        <w:rPr>
          <w:rFonts w:ascii="Times New Roman;serif" w:hAnsi="Times New Roman;serif"/>
          <w:b w:val="false"/>
          <w:color w:val="000000"/>
          <w:sz w:val="16"/>
        </w:rPr>
        <w:t>Adjusted average assets for the purpose of calculating our Tier 1 leverage ratio represents total average assets adjusted for amounts that are deducted from Tier 1 capital, predominately goodwill and intangible assets. Tier 1 leverage ratio is a regulatory capital measure calculated based on Tier 1 capital divided by adjusted average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(5)</w:t>
      </w:r>
      <w:r>
        <w:rPr>
          <w:rFonts w:ascii="Times New Roman;serif" w:hAnsi="Times New Roman;serif"/>
          <w:b w:val="false"/>
          <w:color w:val="000000"/>
          <w:sz w:val="16"/>
        </w:rPr>
        <w:t>Common equity Tier 1 capital ratio is a regulatory capital measure calculated based on common equity Tier 1 capital divided by risk-weighted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(6)</w:t>
      </w:r>
      <w:r>
        <w:rPr>
          <w:rFonts w:ascii="Times New Roman;serif" w:hAnsi="Times New Roman;serif"/>
          <w:b w:val="false"/>
          <w:color w:val="000000"/>
          <w:sz w:val="16"/>
        </w:rPr>
        <w:t>Tier 1 capital ratio is a regulatory capital measure calculated based on Tier 1 capital divided by risk-weighted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(7)</w:t>
      </w:r>
      <w:r>
        <w:rPr>
          <w:rFonts w:ascii="Times New Roman;serif" w:hAnsi="Times New Roman;serif"/>
          <w:b w:val="false"/>
          <w:color w:val="000000"/>
          <w:sz w:val="16"/>
        </w:rPr>
        <w:t>Total capital ratio is a regulatory capital measure calculated based on total capital divided by risk-weighted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(8)</w:t>
      </w:r>
      <w:r>
        <w:rPr>
          <w:rFonts w:ascii="Times New Roman;serif" w:hAnsi="Times New Roman;serif"/>
          <w:b w:val="false"/>
          <w:color w:val="000000"/>
          <w:sz w:val="16"/>
        </w:rPr>
        <w:t>TCE ratio is a Non-GAAP measure calculated based on TCE divided by tangible assets.</w:t>
      </w:r>
    </w:p>
    <w:p>
      <w:pPr>
        <w:pStyle w:val="TextBody"/>
        <w:bidi w:val="0"/>
        <w:spacing w:lineRule="auto" w:line="288" w:before="60" w:after="60"/>
        <w:ind w:left="0" w:right="0" w:hanging="360"/>
        <w:jc w:val="both"/>
        <w:rPr/>
      </w:pPr>
      <w:r>
        <w:rPr>
          <w:rFonts w:ascii="Times New Roman;serif" w:hAnsi="Times New Roman;serif"/>
          <w:b w:val="false"/>
          <w:color w:val="000000"/>
          <w:sz w:val="10"/>
        </w:rPr>
        <w:t>(9)</w:t>
      </w:r>
      <w:r>
        <w:rPr>
          <w:rFonts w:ascii="Times New Roman;serif" w:hAnsi="Times New Roman;serif"/>
          <w:b w:val="false"/>
          <w:color w:val="000000"/>
          <w:sz w:val="16"/>
        </w:rPr>
        <w:t xml:space="preserve">Includes purchase accounting-related amortization for acquisitions where integration expenses were also adjusted. </w:t>
      </w:r>
    </w:p>
    <w:p>
      <w:pPr>
        <w:pStyle w:val="TextBody"/>
        <w:bidi w:val="0"/>
        <w:spacing w:lineRule="auto" w:line="288" w:before="60" w:after="60"/>
        <w:ind w:left="0" w:right="0" w:hanging="360"/>
        <w:jc w:val="both"/>
        <w:rPr/>
      </w:pPr>
      <w:r>
        <w:rPr>
          <w:rFonts w:ascii="Times New Roman;serif" w:hAnsi="Times New Roman;serif"/>
          <w:b w:val="false"/>
          <w:color w:val="000000"/>
          <w:sz w:val="10"/>
        </w:rPr>
        <w:t>(10)</w:t>
      </w:r>
      <w:r>
        <w:rPr>
          <w:rFonts w:ascii="Times New Roman;serif" w:hAnsi="Times New Roman;serif"/>
          <w:b w:val="false"/>
          <w:color w:val="000000"/>
          <w:sz w:val="16"/>
        </w:rPr>
        <w:t>Management believes that this financial metric is useful in assessing the ability of a lending institution to generate income in excess of its provision for credit losses.</w:t>
      </w:r>
    </w:p>
    <w:p>
      <w:pPr>
        <w:pStyle w:val="TextBody"/>
        <w:bidi w:val="0"/>
        <w:spacing w:lineRule="auto" w:line="288" w:before="60" w:after="60"/>
        <w:ind w:left="0" w:right="0" w:hanging="360"/>
        <w:jc w:val="both"/>
        <w:rPr/>
      </w:pPr>
      <w:r>
        <w:rPr>
          <w:rFonts w:ascii="Times New Roman;serif" w:hAnsi="Times New Roman;serif"/>
          <w:b w:val="false"/>
          <w:color w:val="000000"/>
          <w:sz w:val="10"/>
        </w:rPr>
        <w:t>(11)</w:t>
      </w:r>
      <w:r>
        <w:rPr>
          <w:rFonts w:ascii="Times New Roman;serif" w:hAnsi="Times New Roman;serif"/>
          <w:b w:val="false"/>
          <w:color w:val="000000"/>
          <w:sz w:val="16"/>
        </w:rPr>
        <w:t xml:space="preserve">Management believes that this financial metric is useful when assessing returns and capital management over time. </w:t>
      </w:r>
    </w:p>
    <w:p>
      <w:pPr>
        <w:pStyle w:val="TextBody"/>
        <w:bidi w:val="0"/>
        <w:spacing w:before="60" w:after="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11803</Words>
  <Characters>60244</Characters>
  <CharactersWithSpaces>68892</CharactersWithSpaces>
  <Paragraphs>6295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