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852170</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1"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27,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CAPITAL ONE FINANCIAL CORPORATION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109" w:lineRule="exact"/>
        <w:rPr>
          <w:sz w:val="24"/>
          <w:szCs w:val="24"/>
          <w:color w:val="auto"/>
        </w:rPr>
      </w:pPr>
    </w:p>
    <w:tbl>
      <w:tblPr>
        <w:tblLayout w:type="fixed"/>
        <w:tblInd w:w="620" w:type="dxa"/>
        <w:tblCellMar>
          <w:top w:w="0" w:type="dxa"/>
          <w:left w:w="0" w:type="dxa"/>
          <w:bottom w:w="0" w:type="dxa"/>
          <w:right w:w="0" w:type="dxa"/>
        </w:tblCellMar>
      </w:tblPr>
      <w:tr>
        <w:trPr>
          <w:trHeight w:val="186"/>
        </w:trPr>
        <w:tc>
          <w:tcPr>
            <w:tcW w:w="284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Delaware</w:t>
            </w:r>
          </w:p>
        </w:tc>
        <w:tc>
          <w:tcPr>
            <w:tcW w:w="4500" w:type="dxa"/>
            <w:vAlign w:val="bottom"/>
          </w:tcPr>
          <w:p>
            <w:pPr>
              <w:jc w:val="center"/>
              <w:ind w:right="131"/>
              <w:spacing w:after="0"/>
              <w:rPr>
                <w:sz w:val="20"/>
                <w:szCs w:val="20"/>
                <w:color w:val="auto"/>
              </w:rPr>
            </w:pPr>
            <w:r>
              <w:rPr>
                <w:rFonts w:ascii="Arial" w:cs="Arial" w:eastAsia="Arial" w:hAnsi="Arial"/>
                <w:sz w:val="14"/>
                <w:szCs w:val="14"/>
                <w:b w:val="1"/>
                <w:bCs w:val="1"/>
                <w:color w:val="auto"/>
                <w:w w:val="92"/>
              </w:rPr>
              <w:t>001-13300</w:t>
            </w:r>
          </w:p>
        </w:tc>
        <w:tc>
          <w:tcPr>
            <w:tcW w:w="2340" w:type="dxa"/>
            <w:vAlign w:val="bottom"/>
          </w:tcPr>
          <w:p>
            <w:pPr>
              <w:jc w:val="right"/>
              <w:ind w:right="628"/>
              <w:spacing w:after="0"/>
              <w:rPr>
                <w:sz w:val="20"/>
                <w:szCs w:val="20"/>
                <w:color w:val="auto"/>
              </w:rPr>
            </w:pPr>
            <w:r>
              <w:rPr>
                <w:rFonts w:ascii="Arial" w:cs="Arial" w:eastAsia="Arial" w:hAnsi="Arial"/>
                <w:sz w:val="14"/>
                <w:szCs w:val="14"/>
                <w:b w:val="1"/>
                <w:bCs w:val="1"/>
                <w:color w:val="auto"/>
              </w:rPr>
              <w:t>54-1719854</w:t>
            </w:r>
          </w:p>
        </w:tc>
      </w:tr>
      <w:tr>
        <w:trPr>
          <w:trHeight w:val="189"/>
        </w:trPr>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4500" w:type="dxa"/>
            <w:vAlign w:val="bottom"/>
          </w:tcPr>
          <w:p>
            <w:pPr>
              <w:jc w:val="center"/>
              <w:ind w:right="131"/>
              <w:spacing w:after="0"/>
              <w:rPr>
                <w:sz w:val="20"/>
                <w:szCs w:val="20"/>
                <w:color w:val="auto"/>
              </w:rPr>
            </w:pPr>
            <w:r>
              <w:rPr>
                <w:rFonts w:ascii="Arial" w:cs="Arial" w:eastAsia="Arial" w:hAnsi="Arial"/>
                <w:sz w:val="14"/>
                <w:szCs w:val="14"/>
                <w:b w:val="1"/>
                <w:bCs w:val="1"/>
                <w:color w:val="auto"/>
                <w:w w:val="93"/>
              </w:rPr>
              <w:t>(Commission File Number)</w:t>
            </w:r>
          </w:p>
        </w:tc>
        <w:tc>
          <w:tcPr>
            <w:tcW w:w="2340" w:type="dxa"/>
            <w:vAlign w:val="bottom"/>
          </w:tcPr>
          <w:p>
            <w:pPr>
              <w:jc w:val="center"/>
              <w:ind w:left="1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189"/>
        </w:trPr>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1680 Capital One Drive,</w:t>
            </w:r>
          </w:p>
        </w:tc>
        <w:tc>
          <w:tcPr>
            <w:tcW w:w="45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2840" w:type="dxa"/>
            <w:vAlign w:val="bottom"/>
          </w:tcPr>
          <w:p>
            <w:pPr>
              <w:ind w:left="780"/>
              <w:spacing w:after="0"/>
              <w:rPr>
                <w:sz w:val="20"/>
                <w:szCs w:val="20"/>
                <w:color w:val="auto"/>
              </w:rPr>
            </w:pPr>
            <w:r>
              <w:rPr>
                <w:rFonts w:ascii="Arial" w:cs="Arial" w:eastAsia="Arial" w:hAnsi="Arial"/>
                <w:sz w:val="14"/>
                <w:szCs w:val="14"/>
                <w:b w:val="1"/>
                <w:bCs w:val="1"/>
                <w:color w:val="auto"/>
              </w:rPr>
              <w:t>McLean, Virginia</w:t>
            </w:r>
          </w:p>
        </w:tc>
        <w:tc>
          <w:tcPr>
            <w:tcW w:w="4500" w:type="dxa"/>
            <w:vAlign w:val="bottom"/>
          </w:tcPr>
          <w:p>
            <w:pPr>
              <w:spacing w:after="0"/>
              <w:rPr>
                <w:sz w:val="16"/>
                <w:szCs w:val="16"/>
                <w:color w:val="auto"/>
              </w:rPr>
            </w:pPr>
          </w:p>
        </w:tc>
        <w:tc>
          <w:tcPr>
            <w:tcW w:w="2340" w:type="dxa"/>
            <w:vAlign w:val="bottom"/>
          </w:tcPr>
          <w:p>
            <w:pPr>
              <w:jc w:val="right"/>
              <w:ind w:right="788"/>
              <w:spacing w:after="0"/>
              <w:rPr>
                <w:sz w:val="20"/>
                <w:szCs w:val="20"/>
                <w:color w:val="auto"/>
              </w:rPr>
            </w:pPr>
            <w:r>
              <w:rPr>
                <w:rFonts w:ascii="Arial" w:cs="Arial" w:eastAsia="Arial" w:hAnsi="Arial"/>
                <w:sz w:val="14"/>
                <w:szCs w:val="14"/>
                <w:b w:val="1"/>
                <w:bCs w:val="1"/>
                <w:color w:val="auto"/>
              </w:rPr>
              <w:t>22102</w:t>
            </w:r>
          </w:p>
        </w:tc>
      </w:tr>
      <w:tr>
        <w:trPr>
          <w:trHeight w:val="189"/>
        </w:trPr>
        <w:tc>
          <w:tcPr>
            <w:tcW w:w="28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spacing w:after="0"/>
              <w:rPr>
                <w:sz w:val="16"/>
                <w:szCs w:val="16"/>
                <w:color w:val="auto"/>
              </w:rPr>
            </w:pPr>
          </w:p>
        </w:tc>
        <w:tc>
          <w:tcPr>
            <w:tcW w:w="23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2840" w:type="dxa"/>
            <w:vAlign w:val="bottom"/>
          </w:tcPr>
          <w:p>
            <w:pPr>
              <w:spacing w:after="0"/>
              <w:rPr>
                <w:sz w:val="23"/>
                <w:szCs w:val="23"/>
                <w:color w:val="auto"/>
              </w:rPr>
            </w:pPr>
          </w:p>
        </w:tc>
        <w:tc>
          <w:tcPr>
            <w:tcW w:w="4500" w:type="dxa"/>
            <w:vAlign w:val="bottom"/>
          </w:tcPr>
          <w:p>
            <w:pPr>
              <w:jc w:val="center"/>
              <w:ind w:right="91"/>
              <w:spacing w:after="0"/>
              <w:rPr>
                <w:sz w:val="20"/>
                <w:szCs w:val="20"/>
                <w:color w:val="auto"/>
              </w:rPr>
            </w:pPr>
            <w:r>
              <w:rPr>
                <w:rFonts w:ascii="Arial" w:cs="Arial" w:eastAsia="Arial" w:hAnsi="Arial"/>
                <w:sz w:val="14"/>
                <w:szCs w:val="14"/>
                <w:b w:val="1"/>
                <w:bCs w:val="1"/>
                <w:color w:val="auto"/>
                <w:w w:val="92"/>
              </w:rPr>
              <w:t>Registrant’s telephone number, including area code: (703) 720-1000</w:t>
            </w:r>
          </w:p>
        </w:tc>
        <w:tc>
          <w:tcPr>
            <w:tcW w:w="2340" w:type="dxa"/>
            <w:vAlign w:val="bottom"/>
          </w:tcPr>
          <w:p>
            <w:pPr>
              <w:spacing w:after="0"/>
              <w:rPr>
                <w:sz w:val="23"/>
                <w:szCs w:val="23"/>
                <w:color w:val="auto"/>
              </w:rPr>
            </w:pPr>
          </w:p>
        </w:tc>
      </w:tr>
      <w:tr>
        <w:trPr>
          <w:trHeight w:val="192"/>
        </w:trPr>
        <w:tc>
          <w:tcPr>
            <w:tcW w:w="2840" w:type="dxa"/>
            <w:vAlign w:val="bottom"/>
          </w:tcPr>
          <w:p>
            <w:pPr>
              <w:spacing w:after="0"/>
              <w:rPr>
                <w:sz w:val="16"/>
                <w:szCs w:val="16"/>
                <w:color w:val="auto"/>
              </w:rPr>
            </w:pPr>
          </w:p>
        </w:tc>
        <w:tc>
          <w:tcPr>
            <w:tcW w:w="4500" w:type="dxa"/>
            <w:vAlign w:val="bottom"/>
          </w:tcPr>
          <w:p>
            <w:pPr>
              <w:jc w:val="center"/>
              <w:ind w:right="91"/>
              <w:spacing w:after="0"/>
              <w:rPr>
                <w:sz w:val="20"/>
                <w:szCs w:val="20"/>
                <w:color w:val="auto"/>
              </w:rPr>
            </w:pPr>
            <w:r>
              <w:rPr>
                <w:rFonts w:ascii="Arial" w:cs="Arial" w:eastAsia="Arial" w:hAnsi="Arial"/>
                <w:sz w:val="14"/>
                <w:szCs w:val="14"/>
                <w:b w:val="1"/>
                <w:bCs w:val="1"/>
                <w:color w:val="auto"/>
                <w:w w:val="93"/>
              </w:rPr>
              <w:t>(Not applicable)</w:t>
            </w:r>
          </w:p>
        </w:tc>
        <w:tc>
          <w:tcPr>
            <w:tcW w:w="2340" w:type="dxa"/>
            <w:vAlign w:val="bottom"/>
          </w:tcPr>
          <w:p>
            <w:pPr>
              <w:spacing w:after="0"/>
              <w:rPr>
                <w:sz w:val="16"/>
                <w:szCs w:val="16"/>
                <w:color w:val="auto"/>
              </w:rPr>
            </w:pPr>
          </w:p>
        </w:tc>
      </w:tr>
      <w:tr>
        <w:trPr>
          <w:trHeight w:val="175"/>
        </w:trPr>
        <w:tc>
          <w:tcPr>
            <w:tcW w:w="2840" w:type="dxa"/>
            <w:vAlign w:val="bottom"/>
          </w:tcPr>
          <w:p>
            <w:pPr>
              <w:spacing w:after="0"/>
              <w:rPr>
                <w:sz w:val="15"/>
                <w:szCs w:val="15"/>
                <w:color w:val="auto"/>
              </w:rPr>
            </w:pPr>
          </w:p>
        </w:tc>
        <w:tc>
          <w:tcPr>
            <w:tcW w:w="450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340" w:type="dxa"/>
            <w:vAlign w:val="bottom"/>
          </w:tcPr>
          <w:p>
            <w:pPr>
              <w:spacing w:after="0"/>
              <w:rPr>
                <w:sz w:val="15"/>
                <w:szCs w:val="15"/>
                <w:color w:val="auto"/>
              </w:rPr>
            </w:pPr>
          </w:p>
        </w:tc>
      </w:tr>
      <w:tr>
        <w:trPr>
          <w:trHeight w:val="136"/>
        </w:trPr>
        <w:tc>
          <w:tcPr>
            <w:tcW w:w="2840" w:type="dxa"/>
            <w:vAlign w:val="bottom"/>
          </w:tcPr>
          <w:p>
            <w:pPr>
              <w:spacing w:after="0"/>
              <w:rPr>
                <w:sz w:val="11"/>
                <w:szCs w:val="11"/>
                <w:color w:val="auto"/>
              </w:rPr>
            </w:pPr>
          </w:p>
        </w:tc>
        <w:tc>
          <w:tcPr>
            <w:tcW w:w="4500" w:type="dxa"/>
            <w:vAlign w:val="bottom"/>
          </w:tcPr>
          <w:p>
            <w:pPr>
              <w:jc w:val="center"/>
              <w:ind w:right="91"/>
              <w:spacing w:after="0"/>
              <w:rPr>
                <w:sz w:val="20"/>
                <w:szCs w:val="20"/>
                <w:color w:val="auto"/>
              </w:rPr>
            </w:pPr>
            <w:r>
              <w:rPr>
                <w:rFonts w:ascii="Arial" w:cs="Arial" w:eastAsia="Arial" w:hAnsi="Arial"/>
                <w:sz w:val="11"/>
                <w:szCs w:val="11"/>
                <w:color w:val="auto"/>
                <w:w w:val="88"/>
              </w:rPr>
              <w:t>____________________________________</w:t>
            </w:r>
          </w:p>
        </w:tc>
        <w:tc>
          <w:tcPr>
            <w:tcW w:w="2340" w:type="dxa"/>
            <w:vAlign w:val="bottom"/>
          </w:tcPr>
          <w:p>
            <w:pPr>
              <w:spacing w:after="0"/>
              <w:rPr>
                <w:sz w:val="11"/>
                <w:szCs w:val="11"/>
                <w:color w:val="auto"/>
              </w:rPr>
            </w:pPr>
          </w:p>
        </w:tc>
      </w:tr>
    </w:tbl>
    <w:p>
      <w:pPr>
        <w:spacing w:after="0" w:line="8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79" w:lineRule="exact"/>
        <w:rPr>
          <w:sz w:val="24"/>
          <w:szCs w:val="2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6"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7820" w:type="dxa"/>
            <w:vAlign w:val="bottom"/>
          </w:tcPr>
          <w:p>
            <w:pPr>
              <w:ind w:left="37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8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Title of Each Class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3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Name of Each Exchange on Which</w:t>
            </w: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3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82"/>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Common Stock (par value $.01 per share)</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COF</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G</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COF PRG</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H</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COF PRH</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I</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COF PRI</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J</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COF PRJ</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K</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COF PRK</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189"/>
        </w:trPr>
        <w:tc>
          <w:tcPr>
            <w:tcW w:w="7820" w:type="dxa"/>
            <w:vAlign w:val="bottom"/>
          </w:tcPr>
          <w:p>
            <w:pPr>
              <w:jc w:val="center"/>
              <w:ind w:right="48"/>
              <w:spacing w:after="0"/>
              <w:rPr>
                <w:sz w:val="20"/>
                <w:szCs w:val="20"/>
                <w:color w:val="auto"/>
              </w:rPr>
            </w:pPr>
            <w:r>
              <w:rPr>
                <w:rFonts w:ascii="Arial" w:cs="Arial" w:eastAsia="Arial" w:hAnsi="Arial"/>
                <w:sz w:val="14"/>
                <w:szCs w:val="14"/>
                <w:color w:val="auto"/>
                <w:w w:val="92"/>
              </w:rPr>
              <w:t>0.800% Senior Notes Due 2024</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COF24</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48"/>
              <w:spacing w:after="0"/>
              <w:rPr>
                <w:sz w:val="20"/>
                <w:szCs w:val="20"/>
                <w:color w:val="auto"/>
              </w:rPr>
            </w:pPr>
            <w:r>
              <w:rPr>
                <w:rFonts w:ascii="Arial" w:cs="Arial" w:eastAsia="Arial" w:hAnsi="Arial"/>
                <w:sz w:val="14"/>
                <w:szCs w:val="14"/>
                <w:color w:val="auto"/>
                <w:w w:val="92"/>
              </w:rPr>
              <w:t>1.650% Senior Notes Due 2029</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COF29</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
        <w:spacing w:after="0" w:line="27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74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66675</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1, 2021, R. Scott Blackley, will be leaving his role as Chief Financial Officer of Capital One Financial Corporation (the “Company”) to pursue another professional opportunity. Following Mr. Blackley’s departure, Andrew Young, Business Line Chief Financial Officer of the Company, will be promoted to Chief Financial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27, 2020, Mr. Blackley notified the Company of his planned departure and the Board of Directors of the Company approved the transition of the Chief Financial Officer role from Mr. Blackley to Mr. Young, effective as of March 1, 2021.</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Young, age 45, has served as Senior Vice President and Business Line Chief Financial Officer of the Company since April 2018. In this role, he is responsible for managing all lines of business chief financial officer teams as well as enterprise planning and budgeting. Mr. Young has also served as the Chief Financial Officer of Capital One, N.A., the largest of the Company's two national bank subsidiaries, since July 2018. From January 2015 to April 2018, Mr. Young served as Senior Vice President, Head of Corporate Planning and CFO of Infrastructure. Mr. Young joined Capital One in 1996 as an Analyst and, during his almost 25 years at Capital One, has served in roles of increasing responsibility within the human resources and finance organizations including Director of HR Analysis and Chief of Staff to the CFO.</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the time that Mr. Young becomes Chief Financial Officer of the Company, his compensation and benefits package will be commensurate with other similarly situated executives of the Company and will consist of cash and equity-based compensation that includes a cash salary, cash incentive award, and long-term incentive awards in the form of restricted stock units and performance share units. All equity-based awards vest over a three year period.</w:t>
      </w:r>
    </w:p>
    <w:p>
      <w:pPr>
        <w:spacing w:after="0" w:line="3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5" w:lineRule="exact"/>
        <w:rPr>
          <w:sz w:val="20"/>
          <w:szCs w:val="20"/>
          <w:color w:val="auto"/>
        </w:rPr>
      </w:pPr>
    </w:p>
    <w:p>
      <w:pPr>
        <w:ind w:left="160"/>
        <w:spacing w:after="0"/>
        <w:tabs>
          <w:tab w:leader="none" w:pos="12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1300" w:hanging="87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80" w:type="dxa"/>
            <w:vAlign w:val="bottom"/>
            <w:gridSpan w:val="2"/>
          </w:tcPr>
          <w:p>
            <w:pPr>
              <w:ind w:left="1660"/>
              <w:spacing w:after="0"/>
              <w:rPr>
                <w:sz w:val="20"/>
                <w:szCs w:val="20"/>
                <w:color w:val="auto"/>
              </w:rPr>
            </w:pPr>
            <w:r>
              <w:rPr>
                <w:rFonts w:ascii="Arial" w:cs="Arial" w:eastAsia="Arial" w:hAnsi="Arial"/>
                <w:sz w:val="18"/>
                <w:szCs w:val="18"/>
                <w:b w:val="1"/>
                <w:bCs w:val="1"/>
                <w:color w:val="auto"/>
              </w:rPr>
              <w:t>CAPITAL ONE FINANCIAL CORPORATION</w:t>
            </w: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Date: December 3, 2020</w:t>
            </w:r>
          </w:p>
        </w:tc>
        <w:tc>
          <w:tcPr>
            <w:tcW w:w="7780" w:type="dxa"/>
            <w:vAlign w:val="bottom"/>
            <w:gridSpan w:val="2"/>
          </w:tcPr>
          <w:p>
            <w:pPr>
              <w:ind w:left="1660"/>
              <w:spacing w:after="0"/>
              <w:rPr>
                <w:sz w:val="20"/>
                <w:szCs w:val="20"/>
                <w:color w:val="auto"/>
              </w:rPr>
            </w:pPr>
            <w:r>
              <w:rPr>
                <w:rFonts w:ascii="Arial" w:cs="Arial" w:eastAsia="Arial" w:hAnsi="Arial"/>
                <w:sz w:val="18"/>
                <w:szCs w:val="18"/>
                <w:color w:val="auto"/>
              </w:rPr>
              <w:t>By:   /s/ Matthew W. Cooper</w:t>
            </w:r>
          </w:p>
        </w:tc>
      </w:tr>
      <w:tr>
        <w:trPr>
          <w:trHeight w:val="222"/>
        </w:trPr>
        <w:tc>
          <w:tcPr>
            <w:tcW w:w="3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W. Cooper</w:t>
            </w:r>
          </w:p>
        </w:tc>
      </w:tr>
      <w:tr>
        <w:trPr>
          <w:trHeight w:val="230"/>
        </w:trPr>
        <w:tc>
          <w:tcPr>
            <w:tcW w:w="3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2020-12-03T08:40:13Z</dcterms:created>
  <dcterms:modified xsi:type="dcterms:W3CDTF">2020-12-03T08:40:13Z</dcterms:modified>
</cp:coreProperties>
</file>