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June 9, 2026</w:t>
      </w:r>
    </w:p>
    <w:p>
      <w:pPr>
        <w:spacing w:after="0" w:line="1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2"/>
          <w:szCs w:val="42"/>
          <w:b w:val="1"/>
          <w:bCs w:val="1"/>
          <w:color w:val="auto"/>
        </w:rPr>
        <w:t>CAPITAL ONE FINANCIAL CORPORATION</w:t>
      </w:r>
    </w:p>
    <w:p>
      <w:pPr>
        <w:spacing w:after="0" w:line="7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001-13300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54-1719854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0" w:gutter="0" w:footer="0" w:header="0"/>
          <w:type w:val="continuous"/>
        </w:sectPr>
      </w:pPr>
    </w:p>
    <w:p>
      <w:pPr>
        <w:spacing w:after="0" w:line="28"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1680 Capital One Drive,</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McLean, Virginia</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22102</w:t>
      </w:r>
    </w:p>
    <w:p>
      <w:pPr>
        <w:spacing w:after="0" w:line="42" w:lineRule="exact"/>
        <w:rPr>
          <w:sz w:val="24"/>
          <w:szCs w:val="24"/>
          <w:color w:val="auto"/>
        </w:rPr>
      </w:pPr>
    </w:p>
    <w:p>
      <w:pPr>
        <w:sectPr>
          <w:pgSz w:w="11900" w:h="16838" w:orient="portrait"/>
          <w:cols w:equalWidth="0" w:num="2">
            <w:col w:w="7404" w:space="720"/>
            <w:col w:w="2900"/>
          </w:cols>
          <w:pgMar w:left="436" w:top="443" w:right="439" w:bottom="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4" w:space="720"/>
            <w:col w:w="3020"/>
          </w:cols>
          <w:pgMar w:left="436" w:top="443" w:right="439" w:bottom="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(703) 720-1000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COF</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COF PRI</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Perpetual Preferred Stock, Series I</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COF PRJ</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Perpetual Preferred Stock, Series J</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COF PRK</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Perpetual Preferred Stock, Series 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COF PRL</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Perpetual Preferred Stock, Series L</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Depositary Shares, Each Representing a 1/40th</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COF PRN</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Interest in a Share of Fixed Rate Non-Cumulative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Perpetual Preferred Stock, Series N</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1.650% Senior Notes Due 2029</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COF29</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024"/>
          </w:cols>
          <w:pgMar w:left="436" w:top="443" w:right="4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5"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0"/>
          </w:cols>
          <w:pgMar w:left="440" w:top="81" w:right="7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filed for the purpose of filing the attached exhibit in connection with the prospectus supplement no. 2, dated June 9, 2026 (the “Resale Prospectus Supplement No. 2”), filed by Capital One Financial Corporation (the “Company”) with the Securities and Exchange Commission, which amends and supplements the prospectus supplement, dated April 23, 2026 (the “Initial Resale Prospectus Supplement”) and forms a part of the Company’s automatic shelf registration statement on Form S-3 (File No. 333-277813).</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Resale Prospectus Supplement No. 2 registers the offer and sale of an additional 39,843 shares of common stock, $0.01 par value per share, of the Company (“Company Common Stock”). The Company previously registered the offer and sale of up to 10,345,906 shares of Company Common Stock under the Initial Resale Prospectus Supplement. Accordingly, the selling security holders referred to in the Initial Resale Prospectus Supplement, as amended and supplemented by the Resale Prospectus Supplement No. 2, may offer and sell up to 10,385,749 shares of Company Common Stock. The Company issued these shares of Company Common Stock to the selling security holders as consideration in connection with the Company’s acquisition of Brex Inc., which closed on April 7, 2026.</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2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2"/>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Exhibit No.</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77"/>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Wachtell, Lipton, Rosen &amp; Katz</w:t>
            </w:r>
          </w:p>
        </w:tc>
        <w:tc>
          <w:tcPr>
            <w:tcW w:w="2740" w:type="dxa"/>
            <w:vAlign w:val="bottom"/>
            <w:gridSpan w:val="2"/>
          </w:tcPr>
          <w:p>
            <w:pPr>
              <w:spacing w:after="0"/>
              <w:rPr>
                <w:sz w:val="24"/>
                <w:szCs w:val="24"/>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Consent of Wachtell, Lipton, Rosen &amp; Katz (included in Exhibit 5.1)</w:t>
            </w:r>
          </w:p>
        </w:tc>
        <w:tc>
          <w:tcPr>
            <w:tcW w:w="920" w:type="dxa"/>
            <w:vAlign w:val="bottom"/>
          </w:tcPr>
          <w:p>
            <w:pPr>
              <w:spacing w:after="0"/>
              <w:rPr>
                <w:sz w:val="24"/>
                <w:szCs w:val="24"/>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The cover page from this Current Report on Form 8-K, formatted in Inline XBRL</w:t>
            </w:r>
          </w:p>
        </w:tc>
      </w:tr>
    </w:tbl>
    <w:p>
      <w:pPr>
        <w:sectPr>
          <w:pgSz w:w="11900" w:h="16838" w:orient="portrait"/>
          <w:cols w:equalWidth="0" w:num="1">
            <w:col w:w="10940"/>
          </w:cols>
          <w:pgMar w:left="440" w:top="293" w:right="51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Company has duly caused this Current Report on Form 8-K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CAPITAL ONE FINANCIAL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MATTHEW W.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Matthew W. Cooper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ectPr>
          <w:pgSz w:w="11900" w:h="16838" w:orient="portrait"/>
          <w:cols w:equalWidth="0" w:num="1">
            <w:col w:w="10940"/>
          </w:cols>
          <w:pgMar w:left="440" w:top="293" w:right="5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[Letterhead of Wachtell, Lipton, Rosen &amp; Katz]</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9,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One Financial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1680 Capital One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Prospectus Supplement No. 2 to Registration Statement on Form S-3ASR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 w:firstLine="991"/>
        <w:spacing w:after="0" w:line="270" w:lineRule="auto"/>
        <w:rPr>
          <w:sz w:val="20"/>
          <w:szCs w:val="20"/>
          <w:color w:val="auto"/>
        </w:rPr>
      </w:pPr>
      <w:r>
        <w:rPr>
          <w:rFonts w:ascii="Times New Roman" w:cs="Times New Roman" w:eastAsia="Times New Roman" w:hAnsi="Times New Roman"/>
          <w:sz w:val="17"/>
          <w:szCs w:val="17"/>
          <w:color w:val="auto"/>
        </w:rPr>
        <w:t>We have acted as special counsel to Capital One Financial Corporation,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its filing on the date hereof with the U.S. Securities and Exchange Commission of a prospectus supplement no. 2 (“</w:t>
      </w:r>
      <w:r>
        <w:rPr>
          <w:rFonts w:ascii="Times New Roman" w:cs="Times New Roman" w:eastAsia="Times New Roman" w:hAnsi="Times New Roman"/>
          <w:sz w:val="17"/>
          <w:szCs w:val="17"/>
          <w:u w:val="single" w:color="auto"/>
          <w:color w:val="auto"/>
        </w:rPr>
        <w:t>Prospectus Supplement No. 2</w:t>
      </w:r>
      <w:r>
        <w:rPr>
          <w:rFonts w:ascii="Times New Roman" w:cs="Times New Roman" w:eastAsia="Times New Roman" w:hAnsi="Times New Roman"/>
          <w:sz w:val="17"/>
          <w:szCs w:val="17"/>
          <w:color w:val="auto"/>
        </w:rPr>
        <w:t>”) to the prospectus dated March 11, 2024 (the “</w:t>
      </w:r>
      <w:r>
        <w:rPr>
          <w:rFonts w:ascii="Times New Roman" w:cs="Times New Roman" w:eastAsia="Times New Roman" w:hAnsi="Times New Roman"/>
          <w:sz w:val="17"/>
          <w:szCs w:val="17"/>
          <w:u w:val="single" w:color="auto"/>
          <w:color w:val="auto"/>
        </w:rPr>
        <w:t>Base Prospectus</w:t>
      </w:r>
      <w:r>
        <w:rPr>
          <w:rFonts w:ascii="Times New Roman" w:cs="Times New Roman" w:eastAsia="Times New Roman" w:hAnsi="Times New Roman"/>
          <w:sz w:val="17"/>
          <w:szCs w:val="17"/>
          <w:color w:val="auto"/>
        </w:rPr>
        <w:t>”) and the prospectus supplement dated April 23, 2026 (the “</w:t>
      </w:r>
      <w:r>
        <w:rPr>
          <w:rFonts w:ascii="Times New Roman" w:cs="Times New Roman" w:eastAsia="Times New Roman" w:hAnsi="Times New Roman"/>
          <w:sz w:val="17"/>
          <w:szCs w:val="17"/>
          <w:u w:val="single" w:color="auto"/>
          <w:color w:val="auto"/>
        </w:rPr>
        <w:t>Initial Prospectus Supplement</w:t>
      </w:r>
      <w:r>
        <w:rPr>
          <w:rFonts w:ascii="Times New Roman" w:cs="Times New Roman" w:eastAsia="Times New Roman" w:hAnsi="Times New Roman"/>
          <w:sz w:val="17"/>
          <w:szCs w:val="17"/>
          <w:color w:val="auto"/>
        </w:rPr>
        <w:t>” and, together with Prospectus Supplement No. 2 and the Base Prospectus, the “</w:t>
      </w:r>
      <w:r>
        <w:rPr>
          <w:rFonts w:ascii="Times New Roman" w:cs="Times New Roman" w:eastAsia="Times New Roman" w:hAnsi="Times New Roman"/>
          <w:sz w:val="17"/>
          <w:szCs w:val="17"/>
          <w:u w:val="single" w:color="auto"/>
          <w:color w:val="auto"/>
        </w:rPr>
        <w:t>Prospectus</w:t>
      </w:r>
      <w:r>
        <w:rPr>
          <w:rFonts w:ascii="Times New Roman" w:cs="Times New Roman" w:eastAsia="Times New Roman" w:hAnsi="Times New Roman"/>
          <w:sz w:val="17"/>
          <w:szCs w:val="17"/>
          <w:color w:val="auto"/>
        </w:rPr>
        <w:t>”) contained in the Registration Statement on Form S-3ASR (File No. 333-277813)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relating to the registration for offer and sale from time to time by the selling security holders named in the Initial Prospectus Supplement, as supplemented and amended by Prospectus Supplement No. 2, of up to an additional 39,843 shares (the “</w:t>
      </w:r>
      <w:r>
        <w:rPr>
          <w:rFonts w:ascii="Times New Roman" w:cs="Times New Roman" w:eastAsia="Times New Roman" w:hAnsi="Times New Roman"/>
          <w:sz w:val="17"/>
          <w:szCs w:val="17"/>
          <w:u w:val="single" w:color="auto"/>
          <w:color w:val="auto"/>
        </w:rPr>
        <w:t>Additional Selling Securityholder Shares</w:t>
      </w:r>
      <w:r>
        <w:rPr>
          <w:rFonts w:ascii="Times New Roman" w:cs="Times New Roman" w:eastAsia="Times New Roman" w:hAnsi="Times New Roman"/>
          <w:sz w:val="17"/>
          <w:szCs w:val="17"/>
          <w:color w:val="auto"/>
        </w:rPr>
        <w:t>”) of the Company’s common stock, par value $0.01 per share obtained in connection with the Company’s acquisition of Brex Inc., a Delaware corporation (“</w:t>
      </w:r>
      <w:r>
        <w:rPr>
          <w:rFonts w:ascii="Times New Roman" w:cs="Times New Roman" w:eastAsia="Times New Roman" w:hAnsi="Times New Roman"/>
          <w:sz w:val="17"/>
          <w:szCs w:val="17"/>
          <w:u w:val="single" w:color="auto"/>
          <w:color w:val="auto"/>
        </w:rPr>
        <w:t>Brex</w:t>
      </w:r>
      <w:r>
        <w:rPr>
          <w:rFonts w:ascii="Times New Roman" w:cs="Times New Roman" w:eastAsia="Times New Roman" w:hAnsi="Times New Roman"/>
          <w:sz w:val="17"/>
          <w:szCs w:val="17"/>
          <w:color w:val="auto"/>
        </w:rPr>
        <w:t>”), pursuant to that certain Agreement and Plan of Merger and Reorganization, dated as of January 22, 2026, by and among the Company, Brex, Trilogy Merger Sub I, Inc., Trilogy Merger Sub II, LLC and only for the express purposes provided therein and for no other purpose, Fortis Advisors LLC (the “</w:t>
      </w:r>
      <w:r>
        <w:rPr>
          <w:rFonts w:ascii="Times New Roman" w:cs="Times New Roman" w:eastAsia="Times New Roman" w:hAnsi="Times New Roman"/>
          <w:sz w:val="17"/>
          <w:szCs w:val="17"/>
          <w:u w:val="single" w:color="auto"/>
          <w:color w:val="auto"/>
        </w:rPr>
        <w:t>Merger Agreement</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In rendering this opinion, we have examined and relied on (a) the Registration Statement; (b) the Prospectus; (c) the Restated Certificate of Incorporation of the Company (as restated July 26, 2023), filed as Exhibit 3.1 to the Registration Statement; (d) the Amended and Restated Bylaws of the Company, dated September 23, 2021, filed as Exhibit 3.2 to the Registration Statement; (e) the Merger Agreement; and (f) certain resolutions of the Board of Directors of the Company adopted on January 19, 2026.</w:t>
      </w:r>
    </w:p>
    <w:p>
      <w:pPr>
        <w:sectPr>
          <w:pgSz w:w="11900" w:h="16838" w:orient="portrait"/>
          <w:cols w:equalWidth="0" w:num="1">
            <w:col w:w="11020"/>
          </w:cols>
          <w:pgMar w:left="440" w:top="117" w:right="439" w:bottom="1440" w:gutter="0" w:footer="0" w:header="0"/>
        </w:sectPr>
      </w:pPr>
    </w:p>
    <w:bookmarkStart w:id="5" w:name="page6"/>
    <w:bookmarkEnd w:id="5"/>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examined and relied on originals or copies certified or otherwise identified to our satisfaction of such documents, corporate records, certificates of the Company or public officials and such other documents as we have deemed necessary or appropriate for the purposes of this opinion letter. We have also conducted such investigations of fact and law as we have deemed necessary or advisable for purposes of this letter. In making such examination and rendering the opinion set forth below, we have assumed without verification (a) the authenticity of original documents and the genuineness of all signatures; (b) each natural person signing any document reviewed by us had the legal capacity to do so; (c) each person signing in a representative capacity any document reviewed by us had authority to sign in such capacity; (d) the conformity to the originals of all documents submitted to us as copies; and (e) the truth, accuracy and completeness of the information, representations and warranties contained in the agreements, records, documents, instruments and certificates we have reviewed.</w:t>
      </w:r>
    </w:p>
    <w:p>
      <w:pPr>
        <w:spacing w:after="0" w:line="192"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This opinion is provided pursuant to the requirements of Item 601(b)(5) of Regulation S-K under the Act, and no opinion is expressed herein as to any matter pertaining to the contents of the Registration Statement or the prospectus forming part of the Registration Statement, other than as expressly stated herein with respect to the Additional Selling Securityholder Shares.</w:t>
      </w:r>
    </w:p>
    <w:p>
      <w:pPr>
        <w:spacing w:after="0" w:line="176"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Based upon and subject to the foregoing examination and in reliance thereon, and subject to the qualifications, assumptions and limitations set forth in this opinion letter, we are of the opinion that the Additional Selling Securityholder Shares are validly issued, fully paid and non-assessable.</w:t>
      </w:r>
    </w:p>
    <w:p>
      <w:pPr>
        <w:spacing w:after="0" w:line="140"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This opinion is subject to the effects of (a) bankruptcy, insolvency, fraudulent conveyance, fraudulent transfer, voidable transfer, reorganization, liquidation, moratorium or other similar laws relating to or affecting the rights or remedies of creditors generally, (b) the application of general principles of equity (regardless of whether enforcement is considered in a proceeding in equity or at law) and (c) an implied covenant of good faith and fair dealing. Furthermore, the manner in which any particular issue relating to this opinion would be treated in any actual court case would depend in part on facts and circumstances particular to the case and would also depend on how the court involved choose to exercise the wide discretionary authority generally available to it.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express no opinion as to whether, or the extent to which, the laws of any particular jurisdiction apply to the subject matter hereof.</w:t>
      </w:r>
    </w:p>
    <w:p>
      <w:pPr>
        <w:spacing w:after="0" w:line="225"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We have not considered, and we express no opinion as to, any law other than the General Corporation Law of the State of Delaware (including the statutory provisions and reported judicial decisions interpreting the foregoing) as in effect on the date hereof.</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We hereby consent to be named in the Initial Prospectus Supplement under the caption “Validity of the Shares of Common Stock” as the attorneys who passed upon the legality of the Additional Selling Securityholder Shares being registered pursuant to the Initial Prospectus Supplement, as supplemented and amended by Prospectus Supplement No. 2, and to the filing of a copy of this opinion as Exhibit 5.1 to the Current Report on Form 8-K to be filed by the Company on the date hereof. In giving such consent, we do not thereby admit that we are in the category of persons whose consent is required under Section 7 of the Act. This opinion speaks as of its date, and we undertake no (and hereby disclaim any) obligation to update this opinion.</w:t>
      </w:r>
    </w:p>
    <w:p>
      <w:pPr>
        <w:spacing w:after="0" w:line="21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/s/ Wachtell, Lipton, Rosen &amp; Katz</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2026-06-09T15:11:30Z</dcterms:created>
  <dcterms:modified xsi:type="dcterms:W3CDTF">2026-06-09T15:11:30Z</dcterms:modified>
</cp:coreProperties>
</file>