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791845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12, 2026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CAPITAL ONE FINANCIAL CORPORATION</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07" w:lineRule="exact"/>
        <w:rPr>
          <w:sz w:val="24"/>
          <w:szCs w:val="24"/>
          <w:color w:val="auto"/>
        </w:rPr>
      </w:pPr>
    </w:p>
    <w:tbl>
      <w:tblPr>
        <w:tblLayout w:type="fixed"/>
        <w:tblInd w:w="620" w:type="dxa"/>
        <w:tblCellMar>
          <w:top w:w="0" w:type="dxa"/>
          <w:left w:w="0" w:type="dxa"/>
          <w:bottom w:w="0" w:type="dxa"/>
          <w:right w:w="0" w:type="dxa"/>
        </w:tblCellMar>
      </w:tblPr>
      <w:tr>
        <w:trPr>
          <w:trHeight w:val="190"/>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001-13300</w:t>
            </w:r>
          </w:p>
        </w:tc>
        <w:tc>
          <w:tcPr>
            <w:tcW w:w="23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54-1719854</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1680 Capital One Drive,</w:t>
            </w:r>
          </w:p>
        </w:tc>
        <w:tc>
          <w:tcPr>
            <w:tcW w:w="45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2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McLean, Virginia</w:t>
            </w:r>
          </w:p>
        </w:tc>
        <w:tc>
          <w:tcPr>
            <w:tcW w:w="4500" w:type="dxa"/>
            <w:vAlign w:val="bottom"/>
          </w:tcPr>
          <w:p>
            <w:pPr>
              <w:spacing w:after="0"/>
              <w:rPr>
                <w:sz w:val="17"/>
                <w:szCs w:val="17"/>
                <w:color w:val="auto"/>
              </w:rPr>
            </w:pPr>
          </w:p>
        </w:tc>
        <w:tc>
          <w:tcPr>
            <w:tcW w:w="23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22102</w:t>
            </w:r>
          </w:p>
        </w:tc>
      </w:tr>
      <w:tr>
        <w:trPr>
          <w:trHeight w:val="203"/>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tcPr>
          <w:p>
            <w:pPr>
              <w:spacing w:after="0"/>
              <w:rPr>
                <w:sz w:val="17"/>
                <w:szCs w:val="17"/>
                <w:color w:val="auto"/>
              </w:rPr>
            </w:pP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3"/>
        </w:trPr>
        <w:tc>
          <w:tcPr>
            <w:tcW w:w="2840" w:type="dxa"/>
            <w:vAlign w:val="bottom"/>
          </w:tcPr>
          <w:p>
            <w:pPr>
              <w:spacing w:after="0"/>
              <w:rPr>
                <w:sz w:val="24"/>
                <w:szCs w:val="24"/>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(703) 720-1000</w:t>
            </w:r>
          </w:p>
        </w:tc>
        <w:tc>
          <w:tcPr>
            <w:tcW w:w="2340" w:type="dxa"/>
            <w:vAlign w:val="bottom"/>
          </w:tcPr>
          <w:p>
            <w:pPr>
              <w:spacing w:after="0"/>
              <w:rPr>
                <w:sz w:val="24"/>
                <w:szCs w:val="24"/>
                <w:color w:val="auto"/>
              </w:rPr>
            </w:pPr>
          </w:p>
        </w:tc>
      </w:tr>
      <w:tr>
        <w:trPr>
          <w:trHeight w:val="201"/>
        </w:trPr>
        <w:tc>
          <w:tcPr>
            <w:tcW w:w="2840" w:type="dxa"/>
            <w:vAlign w:val="bottom"/>
          </w:tcPr>
          <w:p>
            <w:pPr>
              <w:spacing w:after="0"/>
              <w:rPr>
                <w:sz w:val="17"/>
                <w:szCs w:val="17"/>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340" w:type="dxa"/>
            <w:vAlign w:val="bottom"/>
          </w:tcPr>
          <w:p>
            <w:pPr>
              <w:spacing w:after="0"/>
              <w:rPr>
                <w:sz w:val="17"/>
                <w:szCs w:val="17"/>
                <w:color w:val="auto"/>
              </w:rPr>
            </w:pPr>
          </w:p>
        </w:tc>
      </w:tr>
      <w:tr>
        <w:trPr>
          <w:trHeight w:val="186"/>
        </w:trPr>
        <w:tc>
          <w:tcPr>
            <w:tcW w:w="2840" w:type="dxa"/>
            <w:vAlign w:val="bottom"/>
          </w:tcPr>
          <w:p>
            <w:pPr>
              <w:spacing w:after="0"/>
              <w:rPr>
                <w:sz w:val="16"/>
                <w:szCs w:val="16"/>
                <w:color w:val="auto"/>
              </w:rPr>
            </w:pPr>
          </w:p>
        </w:tc>
        <w:tc>
          <w:tcPr>
            <w:tcW w:w="45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340" w:type="dxa"/>
            <w:vAlign w:val="bottom"/>
          </w:tcPr>
          <w:p>
            <w:pPr>
              <w:spacing w:after="0"/>
              <w:rPr>
                <w:sz w:val="16"/>
                <w:szCs w:val="16"/>
                <w:color w:val="auto"/>
              </w:rPr>
            </w:pPr>
          </w:p>
        </w:tc>
      </w:tr>
      <w:tr>
        <w:trPr>
          <w:trHeight w:val="140"/>
        </w:trPr>
        <w:tc>
          <w:tcPr>
            <w:tcW w:w="2840" w:type="dxa"/>
            <w:vAlign w:val="bottom"/>
          </w:tcPr>
          <w:p>
            <w:pPr>
              <w:spacing w:after="0"/>
              <w:rPr>
                <w:sz w:val="12"/>
                <w:szCs w:val="12"/>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1"/>
                <w:szCs w:val="11"/>
                <w:color w:val="auto"/>
                <w:w w:val="97"/>
              </w:rPr>
              <w:t>____________________________________</w:t>
            </w:r>
          </w:p>
        </w:tc>
        <w:tc>
          <w:tcPr>
            <w:tcW w:w="2340" w:type="dxa"/>
            <w:vAlign w:val="bottom"/>
          </w:tcPr>
          <w:p>
            <w:pPr>
              <w:spacing w:after="0"/>
              <w:rPr>
                <w:sz w:val="12"/>
                <w:szCs w:val="12"/>
                <w:color w:val="auto"/>
              </w:rPr>
            </w:pPr>
          </w:p>
        </w:tc>
      </w:tr>
    </w:tbl>
    <w:p>
      <w:pPr>
        <w:spacing w:after="0" w:line="94" w:lineRule="exact"/>
        <w:rPr>
          <w:sz w:val="24"/>
          <w:szCs w:val="24"/>
          <w:color w:val="auto"/>
        </w:rPr>
      </w:pPr>
    </w:p>
    <w:p>
      <w:pPr>
        <w:ind w:right="160"/>
        <w:spacing w:after="0" w:line="30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782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9"/>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I</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PRI</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J</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PRJ</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PRK</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PRL</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PRN</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1.650% Senior Notes Due 2029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COF29</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7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One Financial Corporation (the “Company”) hereby furnishes the information in Exhibit 99.1 hereto, Monthly Charge-Off and Delinquency Metrics - As of and for the month ended May 31, 2026.</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Information in this report (including the exhibit) furnished pursuant to Item 7.01 shall not be deemed to be “filed” for the purposes of Section 18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Exchange Act of 1934 or otherwise subject to the liabilities of that Section. This report will not be deemed an admission as to the materiality of any information in the report that is required to be disclosed solely by Regulation FD. Furthermore, the information provided in Exhibit 99.1 shall not be deemed incorporated by reference into any filing under the Securities Act of 1933 or the Securities Exchange Act of 1934.</w:t>
      </w:r>
    </w:p>
    <w:p>
      <w:pPr>
        <w:spacing w:after="0" w:line="1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7" w:lineRule="exact"/>
        <w:rPr>
          <w:sz w:val="20"/>
          <w:szCs w:val="20"/>
          <w:color w:val="auto"/>
        </w:rPr>
      </w:pPr>
    </w:p>
    <w:p>
      <w:pPr>
        <w:ind w:left="16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40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Monthly Charge-Off and Delinquency Metrics - As of and for the month ended May 31, 2026</w:t>
      </w:r>
    </w:p>
    <w:p>
      <w:pPr>
        <w:spacing w:after="0" w:line="27" w:lineRule="exact"/>
        <w:rPr>
          <w:sz w:val="20"/>
          <w:szCs w:val="20"/>
          <w:color w:val="auto"/>
        </w:rPr>
      </w:pPr>
    </w:p>
    <w:p>
      <w:pPr>
        <w:ind w:left="1300" w:hanging="87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tc>
      </w:tr>
      <w:tr>
        <w:trPr>
          <w:trHeight w:val="44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9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TIMOTHY P. GOLDEN</w:t>
            </w:r>
          </w:p>
        </w:tc>
      </w:tr>
      <w:tr>
        <w:trPr>
          <w:trHeight w:val="218"/>
        </w:trPr>
        <w:tc>
          <w:tcPr>
            <w:tcW w:w="3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Timothy P. Golden</w:t>
            </w:r>
          </w:p>
        </w:tc>
      </w:tr>
      <w:tr>
        <w:trPr>
          <w:trHeight w:val="234"/>
        </w:trPr>
        <w:tc>
          <w:tcPr>
            <w:tcW w:w="3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Monthly Charge-Off and Delinquency Metrics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and for the month ended May 31, 2026</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Net Charge-Offs</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30+ Day Performing</w:t>
            </w:r>
          </w:p>
        </w:tc>
        <w:tc>
          <w:tcPr>
            <w:tcW w:w="120" w:type="dxa"/>
            <w:vAlign w:val="bottom"/>
          </w:tcPr>
          <w:p>
            <w:pPr>
              <w:spacing w:after="0"/>
              <w:rPr>
                <w:sz w:val="16"/>
                <w:szCs w:val="16"/>
                <w:color w:val="auto"/>
              </w:rPr>
            </w:pPr>
          </w:p>
        </w:tc>
        <w:tc>
          <w:tcPr>
            <w:tcW w:w="1760" w:type="dxa"/>
            <w:vAlign w:val="bottom"/>
            <w:gridSpan w:val="3"/>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Nonperforming Loans</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940" w:type="dxa"/>
            <w:vAlign w:val="bottom"/>
            <w:gridSpan w:val="4"/>
            <w:vMerge w:val="continue"/>
          </w:tcPr>
          <w:p>
            <w:pPr>
              <w:spacing w:after="0"/>
              <w:rPr>
                <w:sz w:val="18"/>
                <w:szCs w:val="18"/>
                <w:color w:val="auto"/>
              </w:rPr>
            </w:pP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Delinquencies</w:t>
            </w:r>
          </w:p>
        </w:tc>
        <w:tc>
          <w:tcPr>
            <w:tcW w:w="12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except as noted)</w:t>
            </w: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Period-End</w:t>
            </w:r>
          </w:p>
        </w:tc>
        <w:tc>
          <w:tcPr>
            <w:tcW w:w="80" w:type="dxa"/>
            <w:vAlign w:val="bottom"/>
          </w:tcPr>
          <w:p>
            <w:pPr>
              <w:spacing w:after="0"/>
              <w:rPr>
                <w:sz w:val="18"/>
                <w:szCs w:val="18"/>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top w:val="single" w:sz="8" w:color="auto"/>
            </w:tcBorders>
          </w:tcPr>
          <w:p>
            <w:pPr>
              <w:ind w:left="240"/>
              <w:spacing w:after="0" w:line="213"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ind w:left="260"/>
              <w:spacing w:after="0" w:line="213"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173"/>
              <w:spacing w:after="0" w:line="213"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Credit Card:</w:t>
            </w:r>
            <w:r>
              <w:rPr>
                <w:rFonts w:ascii="Times New Roman" w:cs="Times New Roman" w:eastAsia="Times New Roman" w:hAnsi="Times New Roman"/>
                <w:sz w:val="23"/>
                <w:szCs w:val="23"/>
                <w:b w:val="1"/>
                <w:bCs w:val="1"/>
                <w:color w:val="auto"/>
                <w:vertAlign w:val="superscript"/>
              </w:rPr>
              <w:t>(4)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$ 254,552</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$ 257,997</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1,022</w:t>
            </w:r>
          </w:p>
        </w:tc>
        <w:tc>
          <w:tcPr>
            <w:tcW w:w="8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4.82 %</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8,582</w:t>
            </w:r>
          </w:p>
        </w:tc>
        <w:tc>
          <w:tcPr>
            <w:tcW w:w="8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Banking:</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Auto</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87,337</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87,985</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59"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charge-off rate is calculated by dividing annualized net charge-offs for the period by average loans held for investment during the period for the specified loan category. Net charge-offs and the net charge-off rate are impacted periodically by fluctuations in recoveries, including impacts of debt sales.</w:t>
      </w:r>
    </w:p>
    <w:p>
      <w:pPr>
        <w:spacing w:after="0" w:line="4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30+ day performing delinquency rate is calculated by dividing 30+ day performing delinquent loans as of the end of the period by period-end loans held for investment for the specified loan category.</w:t>
      </w:r>
    </w:p>
    <w:p>
      <w:pPr>
        <w:spacing w:after="0" w:line="33" w:lineRule="exact"/>
        <w:rPr>
          <w:rFonts w:ascii="Times New Roman" w:cs="Times New Roman" w:eastAsia="Times New Roman" w:hAnsi="Times New Roman"/>
          <w:sz w:val="21"/>
          <w:szCs w:val="21"/>
          <w:color w:val="auto"/>
          <w:vertAlign w:val="superscript"/>
        </w:rPr>
      </w:pPr>
    </w:p>
    <w:p>
      <w:pPr>
        <w:ind w:left="340" w:hanging="332"/>
        <w:spacing w:after="0"/>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Nonperforming loan rate is calculated by dividing nonperforming loans as of the end of the period by period-end loans held for investment for the specified loan category.</w:t>
      </w:r>
    </w:p>
    <w:p>
      <w:pPr>
        <w:spacing w:after="0" w:line="204"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Period-end loans held for investment and average loans held for investment include billed finance charges and fees. We recognize billed finance charges and fee income on open-ended loans in accordance with the contractual provisions of the credit arrangements and estimate the uncollectible amount on a quarterly basis. Billed finance charges and fees that are ultimately uncollectible are reflected as a reduction in revenue and not included in our net charge-offs.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2026-06-15T05:04:38Z</dcterms:created>
  <dcterms:modified xsi:type="dcterms:W3CDTF">2026-06-15T05:04:38Z</dcterms:modified>
</cp:coreProperties>
</file>